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1F" w:rsidRPr="00990136" w:rsidRDefault="00990136" w:rsidP="00990136">
      <w:pPr>
        <w:pStyle w:val="BHNormal"/>
        <w:jc w:val="center"/>
        <w:rPr>
          <w:b/>
          <w:sz w:val="28"/>
          <w:szCs w:val="32"/>
        </w:rPr>
      </w:pPr>
      <w:r w:rsidRPr="00F16274">
        <w:rPr>
          <w:b/>
          <w:sz w:val="28"/>
        </w:rPr>
        <w:t xml:space="preserve">VIIRS </w:t>
      </w:r>
      <w:r>
        <w:rPr>
          <w:b/>
          <w:sz w:val="28"/>
        </w:rPr>
        <w:t xml:space="preserve">Aerosol Science and Operational Users </w:t>
      </w:r>
      <w:r w:rsidRPr="00F16274">
        <w:rPr>
          <w:b/>
          <w:sz w:val="28"/>
        </w:rPr>
        <w:t>Workshop</w:t>
      </w:r>
    </w:p>
    <w:p w:rsidR="00A41B16" w:rsidRPr="00A41B16" w:rsidRDefault="00990136" w:rsidP="00A41B16">
      <w:pPr>
        <w:pStyle w:val="BHNormal"/>
        <w:jc w:val="center"/>
        <w:rPr>
          <w:b/>
        </w:rPr>
      </w:pPr>
      <w:r>
        <w:rPr>
          <w:b/>
          <w:sz w:val="28"/>
        </w:rPr>
        <w:t>November 21-22</w:t>
      </w:r>
      <w:r w:rsidR="00946C44">
        <w:rPr>
          <w:b/>
          <w:sz w:val="28"/>
        </w:rPr>
        <w:t>, 2013</w:t>
      </w:r>
    </w:p>
    <w:p w:rsidR="00A41B16" w:rsidRPr="00A41B16" w:rsidRDefault="00A41B16" w:rsidP="00A41B16">
      <w:pPr>
        <w:pStyle w:val="BHNormal"/>
        <w:jc w:val="center"/>
        <w:rPr>
          <w:b/>
        </w:rPr>
      </w:pPr>
    </w:p>
    <w:p w:rsidR="00A41B16" w:rsidRPr="00A41B16" w:rsidRDefault="00820A60" w:rsidP="00A41B16">
      <w:pPr>
        <w:pStyle w:val="BHNormal"/>
        <w:jc w:val="center"/>
        <w:rPr>
          <w:b/>
          <w:sz w:val="28"/>
        </w:rPr>
      </w:pPr>
      <w:r>
        <w:rPr>
          <w:b/>
          <w:sz w:val="28"/>
        </w:rPr>
        <w:t>Case Study</w:t>
      </w:r>
      <w:r w:rsidR="001503D0">
        <w:rPr>
          <w:b/>
          <w:sz w:val="28"/>
        </w:rPr>
        <w:t xml:space="preserve"> Worksheet</w:t>
      </w:r>
      <w:r w:rsidR="00F6419D">
        <w:rPr>
          <w:b/>
          <w:sz w:val="28"/>
        </w:rPr>
        <w:t xml:space="preserve"> for Operational Applications</w:t>
      </w:r>
    </w:p>
    <w:p w:rsidR="00A41B16" w:rsidRPr="00A41B16" w:rsidRDefault="00A41B16" w:rsidP="00A41B16">
      <w:pPr>
        <w:pStyle w:val="BHNormal"/>
        <w:jc w:val="center"/>
        <w:rPr>
          <w:b/>
        </w:rPr>
      </w:pPr>
    </w:p>
    <w:p w:rsidR="00A41B16" w:rsidRDefault="00E13573" w:rsidP="008D4A83">
      <w:pPr>
        <w:pStyle w:val="BHNormal"/>
      </w:pPr>
      <w:r w:rsidRPr="00E13573">
        <w:rPr>
          <w:b/>
        </w:rPr>
        <w:t>Goal</w:t>
      </w:r>
      <w:r w:rsidR="006E6548">
        <w:rPr>
          <w:b/>
        </w:rPr>
        <w:t>s</w:t>
      </w:r>
      <w:r w:rsidRPr="00E13573">
        <w:rPr>
          <w:b/>
        </w:rPr>
        <w:t>:</w:t>
      </w:r>
      <w:r>
        <w:t xml:space="preserve">  </w:t>
      </w:r>
      <w:r w:rsidR="006E6548">
        <w:t xml:space="preserve">The goals of </w:t>
      </w:r>
      <w:r w:rsidR="00AE5EE6">
        <w:t>this breakout session</w:t>
      </w:r>
      <w:r w:rsidR="00A41B16">
        <w:t xml:space="preserve"> </w:t>
      </w:r>
      <w:r w:rsidR="006E6548">
        <w:t>are</w:t>
      </w:r>
      <w:r w:rsidR="00A41B16">
        <w:t xml:space="preserve"> to give you the opportunity to view</w:t>
      </w:r>
      <w:r w:rsidR="00BE532F">
        <w:t xml:space="preserve"> </w:t>
      </w:r>
      <w:r w:rsidR="00990136">
        <w:t>S</w:t>
      </w:r>
      <w:r w:rsidR="00EC1284">
        <w:t xml:space="preserve">-NPP VIIRS </w:t>
      </w:r>
      <w:r w:rsidR="000A32FB">
        <w:t xml:space="preserve">aerosol optical </w:t>
      </w:r>
      <w:r w:rsidR="00386D2B">
        <w:t>thickness</w:t>
      </w:r>
      <w:r w:rsidR="000A32FB">
        <w:t xml:space="preserve"> (</w:t>
      </w:r>
      <w:r w:rsidR="004E0CC1">
        <w:t>AO</w:t>
      </w:r>
      <w:r w:rsidR="00386D2B">
        <w:t>T</w:t>
      </w:r>
      <w:r w:rsidR="000A32FB">
        <w:t>)</w:t>
      </w:r>
      <w:r w:rsidR="004E0CC1">
        <w:t xml:space="preserve"> and true color</w:t>
      </w:r>
      <w:r w:rsidR="000A32FB">
        <w:t xml:space="preserve"> (RGB)</w:t>
      </w:r>
      <w:r w:rsidR="006E6548">
        <w:t xml:space="preserve"> </w:t>
      </w:r>
      <w:r w:rsidR="004E0CC1">
        <w:t>imagery</w:t>
      </w:r>
      <w:r w:rsidR="00A41B16">
        <w:t xml:space="preserve"> in detail, anticipate how </w:t>
      </w:r>
      <w:r w:rsidR="006E6548">
        <w:t>they</w:t>
      </w:r>
      <w:r w:rsidR="00A41B16">
        <w:t xml:space="preserve"> will enhance air quality forecasting and/or analysis, and provide feedback to NOAA on</w:t>
      </w:r>
      <w:r>
        <w:t xml:space="preserve"> </w:t>
      </w:r>
      <w:r w:rsidR="00A41B16">
        <w:t>data visualization and format options.</w:t>
      </w:r>
    </w:p>
    <w:p w:rsidR="00AE5EE6" w:rsidRDefault="00AE5EE6" w:rsidP="008D4A83">
      <w:pPr>
        <w:pStyle w:val="BHNormal"/>
      </w:pPr>
    </w:p>
    <w:p w:rsidR="007A6D43" w:rsidRDefault="00AE5EE6" w:rsidP="008D4A83">
      <w:pPr>
        <w:pStyle w:val="BHNormal"/>
      </w:pPr>
      <w:r w:rsidRPr="00A41B16">
        <w:rPr>
          <w:b/>
        </w:rPr>
        <w:t>Instructions:</w:t>
      </w:r>
      <w:r>
        <w:t xml:space="preserve">  </w:t>
      </w:r>
      <w:r w:rsidR="00EC1284">
        <w:t>The</w:t>
      </w:r>
      <w:r w:rsidR="007A6D43">
        <w:t>re are two case studies</w:t>
      </w:r>
      <w:r w:rsidR="00954ECF">
        <w:t xml:space="preserve"> to consider</w:t>
      </w:r>
      <w:r w:rsidR="007A6D43">
        <w:t xml:space="preserve">: September </w:t>
      </w:r>
      <w:r w:rsidR="00691070">
        <w:t>9</w:t>
      </w:r>
      <w:r w:rsidR="007A6D43">
        <w:t xml:space="preserve">, 2013 (Rim </w:t>
      </w:r>
      <w:r w:rsidR="00750432">
        <w:t>F</w:t>
      </w:r>
      <w:r w:rsidR="007A6D43">
        <w:t>ire in California</w:t>
      </w:r>
      <w:r w:rsidR="00691070">
        <w:t xml:space="preserve"> and </w:t>
      </w:r>
      <w:r w:rsidR="00954ECF">
        <w:t>smoke/</w:t>
      </w:r>
      <w:r w:rsidR="00691070">
        <w:t>haze in Mississippi River Valley</w:t>
      </w:r>
      <w:r w:rsidR="007A6D43">
        <w:t>)</w:t>
      </w:r>
      <w:r w:rsidR="00954ECF">
        <w:t xml:space="preserve"> and July 2, 2012 (fires in southeastern Canada)</w:t>
      </w:r>
      <w:r w:rsidR="00EC1284">
        <w:t xml:space="preserve">.  </w:t>
      </w:r>
    </w:p>
    <w:p w:rsidR="007A6D43" w:rsidRDefault="007A6D43" w:rsidP="008D4A83">
      <w:pPr>
        <w:pStyle w:val="BHNormal"/>
      </w:pPr>
    </w:p>
    <w:p w:rsidR="00C35868" w:rsidRDefault="00954ECF" w:rsidP="008D4A83">
      <w:pPr>
        <w:pStyle w:val="BHNormal"/>
      </w:pPr>
      <w:r>
        <w:t>T</w:t>
      </w:r>
      <w:r w:rsidR="00517152">
        <w:t>he t</w:t>
      </w:r>
      <w:r>
        <w:t>wo</w:t>
      </w:r>
      <w:r w:rsidR="00EC1284">
        <w:t xml:space="preserve"> a</w:t>
      </w:r>
      <w:r w:rsidR="00AE5EE6">
        <w:t>ccompanying P</w:t>
      </w:r>
      <w:r w:rsidR="00EC1284">
        <w:t>ower Point file</w:t>
      </w:r>
      <w:r>
        <w:t>s</w:t>
      </w:r>
      <w:r w:rsidR="00AE5EE6">
        <w:t xml:space="preserve"> contain general </w:t>
      </w:r>
      <w:r w:rsidR="00AE5EE6" w:rsidRPr="00283066">
        <w:rPr>
          <w:b/>
        </w:rPr>
        <w:t>air quality and meteorologi</w:t>
      </w:r>
      <w:r w:rsidR="00EC1284" w:rsidRPr="00283066">
        <w:rPr>
          <w:b/>
        </w:rPr>
        <w:t xml:space="preserve">cal information </w:t>
      </w:r>
      <w:r w:rsidR="00EC1284">
        <w:t>about the event</w:t>
      </w:r>
      <w:r>
        <w:t>s</w:t>
      </w:r>
      <w:r w:rsidR="00AE5EE6">
        <w:t>; review this information first</w:t>
      </w:r>
      <w:r w:rsidR="00EB6FFC">
        <w:t xml:space="preserve"> </w:t>
      </w:r>
      <w:r w:rsidR="00AE5EE6">
        <w:t xml:space="preserve">to familiarize </w:t>
      </w:r>
      <w:proofErr w:type="gramStart"/>
      <w:r w:rsidR="00AE5EE6">
        <w:t>your</w:t>
      </w:r>
      <w:r w:rsidR="00EB6FFC">
        <w:t>self</w:t>
      </w:r>
      <w:proofErr w:type="gramEnd"/>
      <w:r w:rsidR="00EB6FFC">
        <w:t xml:space="preserve"> with the air quality even</w:t>
      </w:r>
      <w:r w:rsidR="002D79EA">
        <w:t>t</w:t>
      </w:r>
      <w:r>
        <w:t>s</w:t>
      </w:r>
      <w:r w:rsidR="00AE5EE6">
        <w:t>.  Then</w:t>
      </w:r>
      <w:r w:rsidR="00EB6FFC">
        <w:t xml:space="preserve"> review the </w:t>
      </w:r>
      <w:r w:rsidR="000A32FB">
        <w:rPr>
          <w:b/>
        </w:rPr>
        <w:t>S</w:t>
      </w:r>
      <w:r w:rsidR="00EC1284" w:rsidRPr="001B31B6">
        <w:rPr>
          <w:b/>
        </w:rPr>
        <w:t xml:space="preserve">-NPP VIIRS </w:t>
      </w:r>
      <w:r w:rsidR="000A32FB">
        <w:rPr>
          <w:b/>
        </w:rPr>
        <w:t>AO</w:t>
      </w:r>
      <w:r w:rsidR="00386D2B">
        <w:rPr>
          <w:b/>
        </w:rPr>
        <w:t>T</w:t>
      </w:r>
      <w:r w:rsidR="000A32FB">
        <w:rPr>
          <w:b/>
        </w:rPr>
        <w:t xml:space="preserve"> and RGB imagery</w:t>
      </w:r>
      <w:r w:rsidR="00EC1284" w:rsidRPr="001B31B6">
        <w:rPr>
          <w:b/>
        </w:rPr>
        <w:t xml:space="preserve"> </w:t>
      </w:r>
      <w:r w:rsidR="00AE5EE6">
        <w:t>for the event</w:t>
      </w:r>
      <w:r w:rsidR="00642224">
        <w:t>, which are available on a special section of the NOAA IDEA website</w:t>
      </w:r>
      <w:r w:rsidR="00AE5EE6">
        <w:t>.</w:t>
      </w:r>
      <w:r w:rsidR="00EB6FFC">
        <w:t xml:space="preserve">  Use the steps below to guide your analysis.</w:t>
      </w:r>
      <w:r w:rsidR="00AE5EE6">
        <w:t xml:space="preserve">  </w:t>
      </w:r>
    </w:p>
    <w:p w:rsidR="00C35868" w:rsidRDefault="00C35868" w:rsidP="008D4A83">
      <w:pPr>
        <w:pStyle w:val="BHNormal"/>
      </w:pPr>
    </w:p>
    <w:p w:rsidR="00AE5EE6" w:rsidRDefault="00AE5EE6" w:rsidP="008D4A83">
      <w:pPr>
        <w:pStyle w:val="BHNormal"/>
      </w:pPr>
      <w:r w:rsidRPr="001503D0">
        <w:rPr>
          <w:b/>
          <w:i/>
        </w:rPr>
        <w:t xml:space="preserve">Please answer the questions about the </w:t>
      </w:r>
      <w:r w:rsidR="00517152">
        <w:rPr>
          <w:b/>
          <w:i/>
        </w:rPr>
        <w:t>VIIRS</w:t>
      </w:r>
      <w:r>
        <w:rPr>
          <w:b/>
          <w:i/>
        </w:rPr>
        <w:t xml:space="preserve"> products</w:t>
      </w:r>
      <w:r w:rsidRPr="001503D0">
        <w:rPr>
          <w:b/>
          <w:i/>
        </w:rPr>
        <w:t xml:space="preserve"> on the accompanying </w:t>
      </w:r>
      <w:r w:rsidR="009F583A">
        <w:rPr>
          <w:b/>
          <w:i/>
        </w:rPr>
        <w:t>Case Study Questionnaire</w:t>
      </w:r>
      <w:r w:rsidRPr="001503D0">
        <w:rPr>
          <w:b/>
          <w:i/>
        </w:rPr>
        <w:t>.</w:t>
      </w:r>
      <w:r>
        <w:t xml:space="preserve">  Your answers will be the basis of the Group Discussion this afternoon.</w:t>
      </w:r>
    </w:p>
    <w:p w:rsidR="00517152" w:rsidRDefault="00517152" w:rsidP="008D4A83">
      <w:pPr>
        <w:pStyle w:val="BHNormal"/>
      </w:pPr>
    </w:p>
    <w:p w:rsidR="00517152" w:rsidRDefault="00517152" w:rsidP="008D4A83">
      <w:pPr>
        <w:pStyle w:val="BHNormal"/>
      </w:pPr>
    </w:p>
    <w:p w:rsidR="00517152" w:rsidRPr="0059313F" w:rsidRDefault="00517152" w:rsidP="00517152">
      <w:pPr>
        <w:pStyle w:val="BHNormal"/>
        <w:jc w:val="center"/>
        <w:rPr>
          <w:b/>
          <w:sz w:val="28"/>
          <w:u w:val="single"/>
        </w:rPr>
      </w:pPr>
      <w:r w:rsidRPr="0059313F">
        <w:rPr>
          <w:b/>
          <w:sz w:val="28"/>
          <w:u w:val="single"/>
        </w:rPr>
        <w:t>September 9, 2013 Case Study</w:t>
      </w:r>
    </w:p>
    <w:p w:rsidR="003C2C7A" w:rsidRDefault="003C2C7A" w:rsidP="003C2C7A">
      <w:pPr>
        <w:pStyle w:val="BHNormal"/>
        <w:jc w:val="both"/>
      </w:pPr>
    </w:p>
    <w:p w:rsidR="006070D5" w:rsidRPr="003C44CE" w:rsidRDefault="006070D5" w:rsidP="008D4A83">
      <w:pPr>
        <w:pStyle w:val="BHNormal"/>
        <w:rPr>
          <w:b/>
        </w:rPr>
      </w:pPr>
      <w:r>
        <w:rPr>
          <w:b/>
        </w:rPr>
        <w:t>Case Study Event S</w:t>
      </w:r>
      <w:r w:rsidRPr="003C44CE">
        <w:rPr>
          <w:b/>
        </w:rPr>
        <w:t xml:space="preserve">ummary: </w:t>
      </w:r>
      <w:r w:rsidR="00517152">
        <w:t xml:space="preserve">The Rim </w:t>
      </w:r>
      <w:r w:rsidR="00750432">
        <w:t>F</w:t>
      </w:r>
      <w:r w:rsidR="00517152">
        <w:t xml:space="preserve">ire was burning in </w:t>
      </w:r>
      <w:r w:rsidR="006E1965">
        <w:t>central California, near Yosemite National Park</w:t>
      </w:r>
      <w:r w:rsidR="002D79EA">
        <w:t xml:space="preserve">, resulting in localized </w:t>
      </w:r>
      <w:r w:rsidR="00B25A79">
        <w:t>Code Yellow (Moderate),</w:t>
      </w:r>
      <w:r>
        <w:t xml:space="preserve"> Code Orange (Unhealthy for Sensitive Groups)</w:t>
      </w:r>
      <w:r w:rsidR="00B359EB">
        <w:t xml:space="preserve"> and Code Red (Unhealthy)</w:t>
      </w:r>
      <w:r w:rsidR="002D79EA" w:rsidRPr="002D79EA">
        <w:t xml:space="preserve"> </w:t>
      </w:r>
      <w:r w:rsidR="002D79EA" w:rsidRPr="00514FEA">
        <w:t>PM</w:t>
      </w:r>
      <w:r w:rsidR="002D79EA" w:rsidRPr="00514FEA">
        <w:rPr>
          <w:vertAlign w:val="subscript"/>
        </w:rPr>
        <w:t>2.5</w:t>
      </w:r>
      <w:r>
        <w:t xml:space="preserve"> conditions.  </w:t>
      </w:r>
      <w:r w:rsidR="00B25A79">
        <w:t>An area of h</w:t>
      </w:r>
      <w:r w:rsidR="00B359EB">
        <w:t xml:space="preserve">aze combined with smoke from </w:t>
      </w:r>
      <w:r w:rsidR="00B25A79">
        <w:t xml:space="preserve">agricultural </w:t>
      </w:r>
      <w:r w:rsidR="00B359EB">
        <w:t xml:space="preserve">fires was widespread across </w:t>
      </w:r>
      <w:r w:rsidR="00B25A79">
        <w:t>the Mississippi River Valley</w:t>
      </w:r>
      <w:r w:rsidR="00963A51">
        <w:t xml:space="preserve"> (MRV)</w:t>
      </w:r>
      <w:r w:rsidR="00B25A79">
        <w:t xml:space="preserve"> and </w:t>
      </w:r>
      <w:r w:rsidR="00804327">
        <w:t>portions</w:t>
      </w:r>
      <w:r w:rsidR="00B25A79">
        <w:t xml:space="preserve"> of the Great Lakes, Mid-Atlantic, and Southeast regions</w:t>
      </w:r>
      <w:r w:rsidR="00B359EB">
        <w:t xml:space="preserve">, resulting in </w:t>
      </w:r>
      <w:r w:rsidR="00B25A79">
        <w:t xml:space="preserve">widespread </w:t>
      </w:r>
      <w:r w:rsidR="00B359EB">
        <w:t xml:space="preserve">Code Yellow </w:t>
      </w:r>
      <w:r w:rsidR="00B359EB" w:rsidRPr="00514FEA">
        <w:t>PM</w:t>
      </w:r>
      <w:r w:rsidR="00B359EB" w:rsidRPr="00514FEA">
        <w:rPr>
          <w:vertAlign w:val="subscript"/>
        </w:rPr>
        <w:t>2.5</w:t>
      </w:r>
      <w:r w:rsidR="00B359EB">
        <w:t xml:space="preserve"> conditions.</w:t>
      </w:r>
    </w:p>
    <w:p w:rsidR="00943657" w:rsidRDefault="00943657" w:rsidP="008D4A83">
      <w:pPr>
        <w:pStyle w:val="BHNormal"/>
      </w:pPr>
    </w:p>
    <w:p w:rsidR="00283066" w:rsidRPr="00386D2B" w:rsidRDefault="001E5476" w:rsidP="008D4A83">
      <w:pPr>
        <w:pStyle w:val="BHNormal"/>
        <w:numPr>
          <w:ilvl w:val="0"/>
          <w:numId w:val="1"/>
        </w:numPr>
        <w:ind w:left="360"/>
      </w:pPr>
      <w:r w:rsidRPr="00E12879">
        <w:rPr>
          <w:b/>
        </w:rPr>
        <w:t>Open the accompanying</w:t>
      </w:r>
      <w:r w:rsidR="00090BF9">
        <w:rPr>
          <w:b/>
        </w:rPr>
        <w:t xml:space="preserve"> “</w:t>
      </w:r>
      <w:r w:rsidR="00BE532F">
        <w:rPr>
          <w:b/>
        </w:rPr>
        <w:t>Sept 9 2013</w:t>
      </w:r>
      <w:r w:rsidR="008D4A83">
        <w:rPr>
          <w:b/>
        </w:rPr>
        <w:t>_</w:t>
      </w:r>
      <w:r w:rsidR="00B37B8A">
        <w:rPr>
          <w:b/>
        </w:rPr>
        <w:t>AQI_Met</w:t>
      </w:r>
      <w:r w:rsidR="00090BF9">
        <w:rPr>
          <w:b/>
        </w:rPr>
        <w:t>”</w:t>
      </w:r>
      <w:r w:rsidRPr="00E12879">
        <w:rPr>
          <w:b/>
        </w:rPr>
        <w:t xml:space="preserve"> Power Point file</w:t>
      </w:r>
      <w:r w:rsidR="002D79EA">
        <w:rPr>
          <w:b/>
        </w:rPr>
        <w:t xml:space="preserve"> </w:t>
      </w:r>
      <w:r w:rsidR="00E12879" w:rsidRPr="00283066">
        <w:rPr>
          <w:b/>
        </w:rPr>
        <w:t>and activate it in “slide show” mode</w:t>
      </w:r>
      <w:r w:rsidR="00E12879" w:rsidRPr="00E12879">
        <w:rPr>
          <w:b/>
          <w:i/>
        </w:rPr>
        <w:t>.</w:t>
      </w:r>
      <w:r w:rsidR="002C0A65">
        <w:rPr>
          <w:b/>
        </w:rPr>
        <w:t xml:space="preserve">  </w:t>
      </w:r>
      <w:r w:rsidR="002C0A65" w:rsidRPr="00386D2B">
        <w:t xml:space="preserve">The file can be downloaded from the </w:t>
      </w:r>
      <w:r w:rsidR="003405FD">
        <w:t>VIIRS workshop</w:t>
      </w:r>
      <w:r w:rsidR="002C0A65" w:rsidRPr="00386D2B">
        <w:t xml:space="preserve"> website (</w:t>
      </w:r>
      <w:hyperlink r:id="rId8" w:history="1">
        <w:r w:rsidR="00651E19" w:rsidRPr="00651E19">
          <w:rPr>
            <w:rStyle w:val="Hyperlink"/>
          </w:rPr>
          <w:t>http://alg.umbc.edu/aqpg/viirs_workshop/</w:t>
        </w:r>
      </w:hyperlink>
      <w:r w:rsidR="00C35868" w:rsidRPr="00386D2B">
        <w:t xml:space="preserve">).  </w:t>
      </w:r>
    </w:p>
    <w:p w:rsidR="00283066" w:rsidRDefault="00283066" w:rsidP="00283066">
      <w:pPr>
        <w:pStyle w:val="BHNormal"/>
      </w:pPr>
    </w:p>
    <w:p w:rsidR="00D52D44" w:rsidRPr="002C0A65" w:rsidRDefault="00C35868" w:rsidP="00283066">
      <w:pPr>
        <w:pStyle w:val="BHNormal"/>
        <w:ind w:left="360"/>
      </w:pPr>
      <w:r>
        <w:t>Review the air quality and meteo</w:t>
      </w:r>
      <w:r w:rsidR="008B71C4">
        <w:t>rological information in the Power Point</w:t>
      </w:r>
      <w:r>
        <w:t xml:space="preserve"> file</w:t>
      </w:r>
      <w:r w:rsidR="003C3246">
        <w:t>:</w:t>
      </w:r>
    </w:p>
    <w:p w:rsidR="006070D5" w:rsidRDefault="000B679F" w:rsidP="00283066">
      <w:pPr>
        <w:pStyle w:val="BHNormal"/>
        <w:numPr>
          <w:ilvl w:val="0"/>
          <w:numId w:val="14"/>
        </w:numPr>
        <w:ind w:left="900"/>
      </w:pPr>
      <w:r>
        <w:rPr>
          <w:b/>
        </w:rPr>
        <w:t xml:space="preserve">24-hour average </w:t>
      </w:r>
      <w:r w:rsidR="001E5476" w:rsidRPr="000B679F">
        <w:rPr>
          <w:b/>
        </w:rPr>
        <w:t>PM</w:t>
      </w:r>
      <w:r w:rsidR="001E5476" w:rsidRPr="000B679F">
        <w:rPr>
          <w:b/>
          <w:vertAlign w:val="subscript"/>
        </w:rPr>
        <w:t>2.5</w:t>
      </w:r>
      <w:r w:rsidR="001E5476" w:rsidRPr="000B679F">
        <w:rPr>
          <w:b/>
        </w:rPr>
        <w:t xml:space="preserve"> </w:t>
      </w:r>
      <w:r w:rsidR="001D548A">
        <w:rPr>
          <w:b/>
        </w:rPr>
        <w:t>Air Quality Index (</w:t>
      </w:r>
      <w:r w:rsidR="001E5476" w:rsidRPr="000B679F">
        <w:rPr>
          <w:b/>
        </w:rPr>
        <w:t>AQI</w:t>
      </w:r>
      <w:r w:rsidR="001D548A">
        <w:rPr>
          <w:b/>
        </w:rPr>
        <w:t>)</w:t>
      </w:r>
      <w:r w:rsidR="001E5476" w:rsidRPr="000B679F">
        <w:rPr>
          <w:b/>
        </w:rPr>
        <w:t xml:space="preserve"> values</w:t>
      </w:r>
      <w:r w:rsidR="00A35953">
        <w:rPr>
          <w:b/>
        </w:rPr>
        <w:t xml:space="preserve"> for the CONUS</w:t>
      </w:r>
      <w:r w:rsidR="001E5476" w:rsidRPr="000B679F">
        <w:rPr>
          <w:b/>
        </w:rPr>
        <w:t xml:space="preserve"> </w:t>
      </w:r>
      <w:r w:rsidR="00CB2FC3">
        <w:rPr>
          <w:b/>
        </w:rPr>
        <w:t>(slide 2</w:t>
      </w:r>
      <w:r w:rsidR="001E5476" w:rsidRPr="000B679F">
        <w:rPr>
          <w:b/>
        </w:rPr>
        <w:t>)</w:t>
      </w:r>
    </w:p>
    <w:p w:rsidR="001E5476" w:rsidRPr="00BE532F" w:rsidRDefault="00D52D44" w:rsidP="00283066">
      <w:pPr>
        <w:pStyle w:val="BHNormal"/>
        <w:numPr>
          <w:ilvl w:val="0"/>
          <w:numId w:val="14"/>
        </w:numPr>
        <w:ind w:left="900"/>
      </w:pPr>
      <w:r w:rsidRPr="00186AAF">
        <w:rPr>
          <w:b/>
        </w:rPr>
        <w:t xml:space="preserve">Synoptic surface </w:t>
      </w:r>
      <w:r w:rsidR="00E12879">
        <w:rPr>
          <w:b/>
        </w:rPr>
        <w:t>analysi</w:t>
      </w:r>
      <w:r w:rsidR="006070D5" w:rsidRPr="00186AAF">
        <w:rPr>
          <w:b/>
        </w:rPr>
        <w:t>s</w:t>
      </w:r>
      <w:r w:rsidR="00E12879">
        <w:rPr>
          <w:b/>
        </w:rPr>
        <w:t xml:space="preserve"> and radar</w:t>
      </w:r>
      <w:r w:rsidR="006070D5" w:rsidRPr="00186AAF">
        <w:rPr>
          <w:b/>
        </w:rPr>
        <w:t xml:space="preserve"> for </w:t>
      </w:r>
      <w:r w:rsidR="00E12879">
        <w:rPr>
          <w:b/>
        </w:rPr>
        <w:t xml:space="preserve">12-15 UTC </w:t>
      </w:r>
      <w:r w:rsidR="006070D5" w:rsidRPr="00186AAF">
        <w:rPr>
          <w:b/>
        </w:rPr>
        <w:t xml:space="preserve">(slides </w:t>
      </w:r>
      <w:r w:rsidR="00CB2FC3">
        <w:rPr>
          <w:b/>
        </w:rPr>
        <w:t>3-4</w:t>
      </w:r>
      <w:r w:rsidRPr="00186AAF">
        <w:rPr>
          <w:b/>
        </w:rPr>
        <w:t>)</w:t>
      </w:r>
    </w:p>
    <w:p w:rsidR="00BE532F" w:rsidRDefault="00BE532F" w:rsidP="00283066">
      <w:pPr>
        <w:pStyle w:val="BHNormal"/>
        <w:numPr>
          <w:ilvl w:val="0"/>
          <w:numId w:val="14"/>
        </w:numPr>
        <w:ind w:left="900"/>
      </w:pPr>
      <w:r>
        <w:rPr>
          <w:b/>
        </w:rPr>
        <w:t xml:space="preserve">NOAA Hazard Mapping System (HMS) Fire and Smoke Product (slide 5).  </w:t>
      </w:r>
      <w:r w:rsidR="00D105CC">
        <w:t xml:space="preserve">The HMS Fire and Smoke Product is a map of fire “hotspots” (red dots) and smoke plumes (grey areas) in the United States, Canada, and Central America.  </w:t>
      </w:r>
      <w:r w:rsidR="00A35953">
        <w:t>NOAA</w:t>
      </w:r>
      <w:r w:rsidR="00D105CC">
        <w:t xml:space="preserve"> analysts prepare the map using data from GOES, MODIS, and other satellites</w:t>
      </w:r>
      <w:r w:rsidR="00583CD4">
        <w:t>, in conjunction with expert analysis</w:t>
      </w:r>
      <w:r w:rsidR="00D105CC">
        <w:t>.</w:t>
      </w:r>
    </w:p>
    <w:p w:rsidR="00D52D44" w:rsidRDefault="00A87ED3" w:rsidP="00283066">
      <w:pPr>
        <w:pStyle w:val="BHNormal"/>
        <w:numPr>
          <w:ilvl w:val="0"/>
          <w:numId w:val="14"/>
        </w:numPr>
        <w:ind w:left="900"/>
      </w:pPr>
      <w:r>
        <w:rPr>
          <w:b/>
        </w:rPr>
        <w:t>Aqua</w:t>
      </w:r>
      <w:r w:rsidR="00D52D44" w:rsidRPr="00186AAF">
        <w:rPr>
          <w:b/>
        </w:rPr>
        <w:t xml:space="preserve"> MODIS </w:t>
      </w:r>
      <w:r w:rsidR="00F471DC">
        <w:rPr>
          <w:b/>
        </w:rPr>
        <w:t>RGB</w:t>
      </w:r>
      <w:r w:rsidR="00D52D44" w:rsidRPr="00186AAF">
        <w:rPr>
          <w:b/>
        </w:rPr>
        <w:t xml:space="preserve"> and AOD</w:t>
      </w:r>
      <w:r w:rsidR="006070D5" w:rsidRPr="00186AAF">
        <w:rPr>
          <w:b/>
        </w:rPr>
        <w:t xml:space="preserve"> images (slides </w:t>
      </w:r>
      <w:r w:rsidR="00BE532F">
        <w:rPr>
          <w:b/>
        </w:rPr>
        <w:t>6-7</w:t>
      </w:r>
      <w:r w:rsidR="00D52D44" w:rsidRPr="00186AAF">
        <w:rPr>
          <w:b/>
        </w:rPr>
        <w:t>).</w:t>
      </w:r>
      <w:r w:rsidR="00186AAF">
        <w:t xml:space="preserve">  The </w:t>
      </w:r>
      <w:r>
        <w:t>Aqua satellite has an afternoon overpass (</w:t>
      </w:r>
      <w:r w:rsidR="00DB460C">
        <w:t>just like</w:t>
      </w:r>
      <w:r>
        <w:t xml:space="preserve"> S-NPP),</w:t>
      </w:r>
      <w:r w:rsidR="00186AAF">
        <w:t xml:space="preserve"> so these images correspond to </w:t>
      </w:r>
      <w:r>
        <w:t xml:space="preserve">observations at </w:t>
      </w:r>
      <w:r>
        <w:lastRenderedPageBreak/>
        <w:t>approximately 1</w:t>
      </w:r>
      <w:r w:rsidR="00186AAF">
        <w:t xml:space="preserve">:30 </w:t>
      </w:r>
      <w:r>
        <w:t>P</w:t>
      </w:r>
      <w:r w:rsidR="00186AAF">
        <w:t xml:space="preserve">M local time.  Note the </w:t>
      </w:r>
      <w:r w:rsidR="00963A51">
        <w:t>dark grey smoke plumes in central-east CA</w:t>
      </w:r>
      <w:r w:rsidR="00E55085">
        <w:t xml:space="preserve"> associated with</w:t>
      </w:r>
      <w:r w:rsidR="00A2390C">
        <w:t xml:space="preserve"> the </w:t>
      </w:r>
      <w:r w:rsidR="00963A51">
        <w:t>Rim Fire</w:t>
      </w:r>
      <w:r w:rsidR="00E55085">
        <w:t xml:space="preserve"> </w:t>
      </w:r>
      <w:r w:rsidR="00963A51">
        <w:t>and the more diffuse haze in the MRV</w:t>
      </w:r>
      <w:r w:rsidR="00186AAF">
        <w:t>.</w:t>
      </w:r>
      <w:r w:rsidR="007A160D">
        <w:t xml:space="preserve">  If you are having</w:t>
      </w:r>
      <w:r w:rsidR="00963A51">
        <w:t xml:space="preserve"> trouble seeing the smoke plume or the haze</w:t>
      </w:r>
      <w:r w:rsidR="007A160D">
        <w:t xml:space="preserve"> in the true color image, look at the AOD image (slide </w:t>
      </w:r>
      <w:r w:rsidR="00963A51">
        <w:t>7</w:t>
      </w:r>
      <w:r w:rsidR="007A160D">
        <w:t>).</w:t>
      </w:r>
      <w:r w:rsidR="00186AAF">
        <w:t xml:space="preserve">  Areas of high AOD </w:t>
      </w:r>
      <w:r w:rsidR="00A2390C">
        <w:t xml:space="preserve">values </w:t>
      </w:r>
      <w:r w:rsidR="00186AAF">
        <w:t>(</w:t>
      </w:r>
      <w:r w:rsidR="00E55085">
        <w:t xml:space="preserve">red, orange, and </w:t>
      </w:r>
      <w:r w:rsidR="00186AAF">
        <w:t xml:space="preserve">yellow </w:t>
      </w:r>
      <w:r w:rsidR="00657754">
        <w:t>colors</w:t>
      </w:r>
      <w:r w:rsidR="00186AAF">
        <w:t>)</w:t>
      </w:r>
      <w:r w:rsidR="00A2390C">
        <w:t xml:space="preserve"> in </w:t>
      </w:r>
      <w:r w:rsidR="00702DE5">
        <w:t>CA</w:t>
      </w:r>
      <w:r w:rsidR="00186AAF">
        <w:t xml:space="preserve"> correspond to high concentrations of </w:t>
      </w:r>
      <w:r w:rsidR="00186AAF" w:rsidRPr="00514FEA">
        <w:t>PM</w:t>
      </w:r>
      <w:r w:rsidR="00186AAF" w:rsidRPr="00514FEA">
        <w:rPr>
          <w:vertAlign w:val="subscript"/>
        </w:rPr>
        <w:t>2.5</w:t>
      </w:r>
      <w:r w:rsidR="00CC2B35">
        <w:t xml:space="preserve"> from smoke</w:t>
      </w:r>
      <w:r w:rsidR="00702DE5">
        <w:t>, while the turquoise color in the MRV</w:t>
      </w:r>
      <w:r w:rsidR="00BD6022">
        <w:t xml:space="preserve"> and Great Lakes region</w:t>
      </w:r>
      <w:r w:rsidR="00702DE5">
        <w:t xml:space="preserve"> corresponds to haze</w:t>
      </w:r>
      <w:r w:rsidR="00CC2B35">
        <w:t>.</w:t>
      </w:r>
      <w:r w:rsidR="00702DE5">
        <w:t xml:space="preserve"> </w:t>
      </w:r>
    </w:p>
    <w:p w:rsidR="00E76C75" w:rsidRDefault="00E76C75" w:rsidP="004166A1">
      <w:pPr>
        <w:pStyle w:val="ListParagraph"/>
        <w:spacing w:after="0" w:line="240" w:lineRule="auto"/>
        <w:ind w:left="0"/>
        <w:rPr>
          <w:sz w:val="24"/>
        </w:rPr>
      </w:pPr>
    </w:p>
    <w:p w:rsidR="009B2D44" w:rsidRPr="000D18B6" w:rsidRDefault="00384F10" w:rsidP="00A757F8">
      <w:pPr>
        <w:pStyle w:val="BHNormal"/>
        <w:numPr>
          <w:ilvl w:val="0"/>
          <w:numId w:val="1"/>
        </w:numPr>
        <w:ind w:left="360"/>
        <w:rPr>
          <w:b/>
        </w:rPr>
      </w:pPr>
      <w:r w:rsidRPr="000D18B6">
        <w:rPr>
          <w:b/>
        </w:rPr>
        <w:t xml:space="preserve">Open </w:t>
      </w:r>
      <w:r w:rsidR="009B2D44" w:rsidRPr="000D18B6">
        <w:rPr>
          <w:b/>
        </w:rPr>
        <w:t>the link to the special section of the NOAA IDEA website where the VIIRS case study data are available:</w:t>
      </w:r>
    </w:p>
    <w:p w:rsidR="00746C07" w:rsidRDefault="008D5BC4" w:rsidP="009B2D44">
      <w:pPr>
        <w:pStyle w:val="BHNormal"/>
        <w:ind w:left="360"/>
      </w:pPr>
      <w:hyperlink r:id="rId9" w:history="1">
        <w:r w:rsidR="009B2D44" w:rsidRPr="009B2D44">
          <w:rPr>
            <w:rStyle w:val="Hyperlink"/>
          </w:rPr>
          <w:t>http://www.star.nesdis.noaa.gov/smcd/spb/aq/viirs_workshop_2013/</w:t>
        </w:r>
      </w:hyperlink>
      <w:r w:rsidR="000D18B6">
        <w:t xml:space="preserve">.  </w:t>
      </w:r>
    </w:p>
    <w:p w:rsidR="00746C07" w:rsidRDefault="00746C07" w:rsidP="009B2D44">
      <w:pPr>
        <w:pStyle w:val="BHNormal"/>
        <w:ind w:left="360"/>
      </w:pPr>
    </w:p>
    <w:p w:rsidR="003C44A3" w:rsidRDefault="000D18B6" w:rsidP="009B2D44">
      <w:pPr>
        <w:pStyle w:val="BHNormal"/>
        <w:ind w:left="360"/>
      </w:pPr>
      <w:r>
        <w:t xml:space="preserve">Be sure you are on the </w:t>
      </w:r>
      <w:r w:rsidRPr="000D18B6">
        <w:rPr>
          <w:b/>
        </w:rPr>
        <w:t>VIIRS CONUS</w:t>
      </w:r>
      <w:r>
        <w:t xml:space="preserve"> tab (not VIIRS Global).</w:t>
      </w:r>
    </w:p>
    <w:p w:rsidR="00A757F8" w:rsidRDefault="00A757F8" w:rsidP="00A757F8">
      <w:pPr>
        <w:pStyle w:val="BHNormal"/>
      </w:pPr>
    </w:p>
    <w:p w:rsidR="00892356" w:rsidRDefault="00892356" w:rsidP="00552184">
      <w:pPr>
        <w:pStyle w:val="BHNormal"/>
        <w:ind w:left="360"/>
      </w:pPr>
      <w:r w:rsidRPr="00892356">
        <w:rPr>
          <w:b/>
        </w:rPr>
        <w:t>2</w:t>
      </w:r>
      <w:r w:rsidR="00BF7169">
        <w:rPr>
          <w:b/>
        </w:rPr>
        <w:t>a</w:t>
      </w:r>
      <w:r w:rsidRPr="00892356">
        <w:rPr>
          <w:b/>
        </w:rPr>
        <w:t>.</w:t>
      </w:r>
      <w:r>
        <w:t xml:space="preserve"> </w:t>
      </w:r>
      <w:r w:rsidR="00BF7169">
        <w:rPr>
          <w:b/>
        </w:rPr>
        <w:t>Understand</w:t>
      </w:r>
      <w:r>
        <w:t xml:space="preserve"> the </w:t>
      </w:r>
      <w:r w:rsidR="0075759F">
        <w:t xml:space="preserve">available </w:t>
      </w:r>
      <w:r w:rsidR="00D4120C">
        <w:t>AO</w:t>
      </w:r>
      <w:r w:rsidR="00386D2B">
        <w:t>T</w:t>
      </w:r>
      <w:r w:rsidR="00D4120C">
        <w:t xml:space="preserve"> and RGB </w:t>
      </w:r>
      <w:r w:rsidR="006F42ED">
        <w:t>data products</w:t>
      </w:r>
      <w:r>
        <w:t xml:space="preserve">.  </w:t>
      </w:r>
    </w:p>
    <w:p w:rsidR="0094172B" w:rsidRDefault="0094172B" w:rsidP="0094172B">
      <w:pPr>
        <w:pStyle w:val="BHNormal"/>
      </w:pPr>
    </w:p>
    <w:p w:rsidR="0094172B" w:rsidRDefault="0094172B" w:rsidP="0094172B">
      <w:pPr>
        <w:pStyle w:val="BHNormal"/>
        <w:ind w:left="720"/>
      </w:pPr>
      <w:r>
        <w:t>The</w:t>
      </w:r>
      <w:r w:rsidR="00283066">
        <w:t xml:space="preserve"> VIIRS</w:t>
      </w:r>
      <w:r>
        <w:t xml:space="preserve"> </w:t>
      </w:r>
      <w:r w:rsidRPr="006F42ED">
        <w:rPr>
          <w:b/>
        </w:rPr>
        <w:t>RGB</w:t>
      </w:r>
      <w:r>
        <w:t xml:space="preserve"> imagery has </w:t>
      </w:r>
      <w:r w:rsidR="00BE435A" w:rsidRPr="00386D2B">
        <w:rPr>
          <w:b/>
        </w:rPr>
        <w:t>750 m</w:t>
      </w:r>
      <w:r w:rsidRPr="00386D2B">
        <w:t xml:space="preserve"> </w:t>
      </w:r>
      <w:r w:rsidRPr="00386D2B">
        <w:rPr>
          <w:b/>
        </w:rPr>
        <w:t>resolution</w:t>
      </w:r>
      <w:r>
        <w:t>.</w:t>
      </w:r>
    </w:p>
    <w:p w:rsidR="0094172B" w:rsidRDefault="0094172B" w:rsidP="00552184">
      <w:pPr>
        <w:pStyle w:val="BHNormal"/>
        <w:ind w:left="360"/>
      </w:pPr>
    </w:p>
    <w:p w:rsidR="000F5060" w:rsidRDefault="00552184" w:rsidP="00892356">
      <w:pPr>
        <w:pStyle w:val="BHNormal"/>
        <w:ind w:left="720"/>
      </w:pPr>
      <w:r>
        <w:t xml:space="preserve">There are two </w:t>
      </w:r>
      <w:r w:rsidR="000F5060" w:rsidRPr="00283066">
        <w:t>VIIRS</w:t>
      </w:r>
      <w:r w:rsidR="000F5060" w:rsidRPr="00DE4DAB">
        <w:rPr>
          <w:b/>
        </w:rPr>
        <w:t xml:space="preserve"> AO</w:t>
      </w:r>
      <w:r w:rsidR="00386D2B">
        <w:rPr>
          <w:b/>
        </w:rPr>
        <w:t>T</w:t>
      </w:r>
      <w:r w:rsidRPr="00DE4DAB">
        <w:rPr>
          <w:b/>
        </w:rPr>
        <w:t xml:space="preserve"> </w:t>
      </w:r>
      <w:r w:rsidRPr="00283066">
        <w:t>products</w:t>
      </w:r>
      <w:r w:rsidR="000F5060" w:rsidRPr="00283066">
        <w:t>:</w:t>
      </w:r>
      <w:r w:rsidR="000F5060">
        <w:t xml:space="preserve">   </w:t>
      </w:r>
    </w:p>
    <w:p w:rsidR="0035742B" w:rsidRDefault="006821A2" w:rsidP="00DE4DAB">
      <w:pPr>
        <w:pStyle w:val="BHNormal"/>
        <w:numPr>
          <w:ilvl w:val="0"/>
          <w:numId w:val="17"/>
        </w:numPr>
        <w:ind w:left="1440"/>
      </w:pPr>
      <w:r>
        <w:t xml:space="preserve">The </w:t>
      </w:r>
      <w:r w:rsidR="000F5060" w:rsidRPr="0035742B">
        <w:rPr>
          <w:b/>
        </w:rPr>
        <w:t>Intermediate Product (IP)</w:t>
      </w:r>
      <w:r w:rsidR="000F5060">
        <w:t xml:space="preserve">, which has </w:t>
      </w:r>
      <w:r w:rsidR="000F5060" w:rsidRPr="0035742B">
        <w:rPr>
          <w:b/>
        </w:rPr>
        <w:t>750 m resolution</w:t>
      </w:r>
      <w:r w:rsidR="000F5060">
        <w:t xml:space="preserve"> (pixel level).</w:t>
      </w:r>
      <w:r w:rsidR="0035742B">
        <w:t xml:space="preserve">  </w:t>
      </w:r>
    </w:p>
    <w:p w:rsidR="00552184" w:rsidRDefault="006821A2" w:rsidP="00DE4DAB">
      <w:pPr>
        <w:pStyle w:val="BHNormal"/>
        <w:numPr>
          <w:ilvl w:val="0"/>
          <w:numId w:val="17"/>
        </w:numPr>
        <w:ind w:left="1440"/>
      </w:pPr>
      <w:r>
        <w:t xml:space="preserve">The </w:t>
      </w:r>
      <w:r w:rsidR="000F5060" w:rsidRPr="0035742B">
        <w:rPr>
          <w:b/>
        </w:rPr>
        <w:t>Environmental Data Record (EDR)</w:t>
      </w:r>
      <w:r w:rsidR="000F5060">
        <w:t xml:space="preserve">, which is </w:t>
      </w:r>
      <w:r w:rsidR="00DE4DAB">
        <w:t>an aggregation of</w:t>
      </w:r>
      <w:r w:rsidR="000F5060">
        <w:t xml:space="preserve"> IP </w:t>
      </w:r>
      <w:r w:rsidR="00BF7169">
        <w:t>and has</w:t>
      </w:r>
      <w:r w:rsidR="000F5060">
        <w:t xml:space="preserve"> </w:t>
      </w:r>
      <w:r w:rsidR="000F5060" w:rsidRPr="0035742B">
        <w:rPr>
          <w:b/>
        </w:rPr>
        <w:t>6 km resolution</w:t>
      </w:r>
      <w:r w:rsidR="000F5060">
        <w:t>.</w:t>
      </w:r>
    </w:p>
    <w:p w:rsidR="009542C7" w:rsidRDefault="009542C7" w:rsidP="00892356">
      <w:pPr>
        <w:pStyle w:val="BHNormal"/>
        <w:ind w:left="720"/>
      </w:pPr>
    </w:p>
    <w:p w:rsidR="009542C7" w:rsidRDefault="009542C7" w:rsidP="009542C7">
      <w:pPr>
        <w:pStyle w:val="BHNormal"/>
        <w:ind w:left="720"/>
      </w:pPr>
      <w:r>
        <w:t xml:space="preserve">Note that the VIIRS AOT products are </w:t>
      </w:r>
      <w:r w:rsidRPr="009542C7">
        <w:rPr>
          <w:b/>
        </w:rPr>
        <w:t>provisional</w:t>
      </w:r>
      <w:r>
        <w:t>, which means:</w:t>
      </w:r>
    </w:p>
    <w:p w:rsidR="009542C7" w:rsidRDefault="009542C7" w:rsidP="009542C7">
      <w:pPr>
        <w:pStyle w:val="BHNormal"/>
        <w:numPr>
          <w:ilvl w:val="0"/>
          <w:numId w:val="22"/>
        </w:numPr>
      </w:pPr>
      <w:r>
        <w:t>Product quality may not be optimal</w:t>
      </w:r>
    </w:p>
    <w:p w:rsidR="009542C7" w:rsidRDefault="009542C7" w:rsidP="009542C7">
      <w:pPr>
        <w:pStyle w:val="BHNormal"/>
        <w:numPr>
          <w:ilvl w:val="1"/>
          <w:numId w:val="23"/>
        </w:numPr>
      </w:pPr>
      <w:r>
        <w:t>Product accuracy is determined for a broader (but still lim</w:t>
      </w:r>
      <w:r w:rsidR="00F656E6">
        <w:t>ited) set of conditions</w:t>
      </w:r>
    </w:p>
    <w:p w:rsidR="009542C7" w:rsidRDefault="009542C7" w:rsidP="009542C7">
      <w:pPr>
        <w:pStyle w:val="BHNormal"/>
        <w:numPr>
          <w:ilvl w:val="1"/>
          <w:numId w:val="23"/>
        </w:numPr>
      </w:pPr>
      <w:r>
        <w:t>No requirement to demonstrate complian</w:t>
      </w:r>
      <w:r w:rsidR="00F656E6">
        <w:t>ce with specifications</w:t>
      </w:r>
      <w:r>
        <w:t xml:space="preserve"> </w:t>
      </w:r>
    </w:p>
    <w:p w:rsidR="009542C7" w:rsidRDefault="009542C7" w:rsidP="009542C7">
      <w:pPr>
        <w:pStyle w:val="BHNormal"/>
        <w:numPr>
          <w:ilvl w:val="0"/>
          <w:numId w:val="22"/>
        </w:numPr>
      </w:pPr>
      <w:r>
        <w:t xml:space="preserve">Incremental product improvements </w:t>
      </w:r>
      <w:r w:rsidR="00F656E6">
        <w:t xml:space="preserve">are </w:t>
      </w:r>
      <w:r>
        <w:t xml:space="preserve">still occurring </w:t>
      </w:r>
    </w:p>
    <w:p w:rsidR="009542C7" w:rsidRDefault="00BA26E0" w:rsidP="009542C7">
      <w:pPr>
        <w:pStyle w:val="BHNormal"/>
        <w:numPr>
          <w:ilvl w:val="0"/>
          <w:numId w:val="22"/>
        </w:numPr>
      </w:pPr>
      <w:r>
        <w:t>The g</w:t>
      </w:r>
      <w:r w:rsidR="009542C7">
        <w:t xml:space="preserve">eneral research community is encouraged to participate in the QA and validation of the product, but </w:t>
      </w:r>
      <w:r>
        <w:t xml:space="preserve">users </w:t>
      </w:r>
      <w:r w:rsidR="009542C7">
        <w:t>need to be aware that product validation and QA are ongoing</w:t>
      </w:r>
    </w:p>
    <w:p w:rsidR="009542C7" w:rsidRDefault="009542C7" w:rsidP="009542C7">
      <w:pPr>
        <w:pStyle w:val="BHNormal"/>
        <w:numPr>
          <w:ilvl w:val="0"/>
          <w:numId w:val="22"/>
        </w:numPr>
      </w:pPr>
      <w:r>
        <w:t xml:space="preserve">Users are urged to consult the EDR product status document prior to use of the data in publications </w:t>
      </w:r>
    </w:p>
    <w:p w:rsidR="009542C7" w:rsidRDefault="00BA26E0" w:rsidP="009542C7">
      <w:pPr>
        <w:pStyle w:val="BHNormal"/>
        <w:numPr>
          <w:ilvl w:val="0"/>
          <w:numId w:val="22"/>
        </w:numPr>
      </w:pPr>
      <w:r>
        <w:t>The data are r</w:t>
      </w:r>
      <w:r w:rsidR="009542C7">
        <w:t>eady for operational evaluation</w:t>
      </w:r>
      <w:r>
        <w:t>.</w:t>
      </w:r>
    </w:p>
    <w:p w:rsidR="009542C7" w:rsidRDefault="009542C7" w:rsidP="00F656E6">
      <w:pPr>
        <w:pStyle w:val="BHNormal"/>
      </w:pPr>
    </w:p>
    <w:p w:rsidR="00892356" w:rsidRDefault="00892356" w:rsidP="00892356">
      <w:pPr>
        <w:pStyle w:val="BHNormal"/>
        <w:ind w:left="720"/>
      </w:pPr>
      <w:r>
        <w:t xml:space="preserve">There are several levels of </w:t>
      </w:r>
      <w:r w:rsidRPr="00892356">
        <w:rPr>
          <w:b/>
        </w:rPr>
        <w:t>quality flags</w:t>
      </w:r>
      <w:r>
        <w:t xml:space="preserve"> for the IP and EDR AO</w:t>
      </w:r>
      <w:r w:rsidR="00386D2B">
        <w:t>T</w:t>
      </w:r>
      <w:r w:rsidR="000B32D5">
        <w:t xml:space="preserve">, indicated by the </w:t>
      </w:r>
      <w:r w:rsidR="000B32D5" w:rsidRPr="000B32D5">
        <w:rPr>
          <w:b/>
        </w:rPr>
        <w:t>Select AO</w:t>
      </w:r>
      <w:r w:rsidR="00386D2B">
        <w:rPr>
          <w:b/>
        </w:rPr>
        <w:t>T</w:t>
      </w:r>
      <w:r w:rsidR="000B32D5" w:rsidRPr="000B32D5">
        <w:rPr>
          <w:b/>
        </w:rPr>
        <w:t xml:space="preserve"> &amp; Quality</w:t>
      </w:r>
      <w:r w:rsidR="000B32D5">
        <w:t xml:space="preserve"> buttons on the right side of the imagery</w:t>
      </w:r>
      <w:r>
        <w:t xml:space="preserve">.  </w:t>
      </w:r>
      <w:r w:rsidR="00DE4DAB">
        <w:t xml:space="preserve">Quality flags indicate </w:t>
      </w:r>
      <w:r w:rsidR="000B32D5">
        <w:t>whether AO</w:t>
      </w:r>
      <w:r w:rsidR="00386D2B">
        <w:t>T</w:t>
      </w:r>
      <w:r w:rsidR="000B32D5">
        <w:t xml:space="preserve"> data are degraded for any reason, such as </w:t>
      </w:r>
      <w:r w:rsidR="00FE373E">
        <w:t>contamination by clouds</w:t>
      </w:r>
      <w:r w:rsidR="000B32D5">
        <w:t xml:space="preserve">.  In general, users want to view </w:t>
      </w:r>
      <w:r w:rsidR="000B32D5" w:rsidRPr="001B4EE4">
        <w:rPr>
          <w:b/>
        </w:rPr>
        <w:t>high quality data</w:t>
      </w:r>
      <w:r w:rsidR="000B32D5">
        <w:t>.</w:t>
      </w:r>
    </w:p>
    <w:p w:rsidR="00DE4DAB" w:rsidRDefault="000B32D5" w:rsidP="00DE4DAB">
      <w:pPr>
        <w:pStyle w:val="BHNormal"/>
        <w:numPr>
          <w:ilvl w:val="0"/>
          <w:numId w:val="19"/>
        </w:numPr>
      </w:pPr>
      <w:r w:rsidRPr="000B32D5">
        <w:rPr>
          <w:b/>
        </w:rPr>
        <w:t>IP High:</w:t>
      </w:r>
      <w:r>
        <w:t xml:space="preserve"> cloud-free IP AO</w:t>
      </w:r>
      <w:r w:rsidR="00386D2B">
        <w:t>T</w:t>
      </w:r>
      <w:r>
        <w:t xml:space="preserve"> of the highest quality (use for quantitative applications)</w:t>
      </w:r>
      <w:r w:rsidR="003F1E03">
        <w:t>.</w:t>
      </w:r>
    </w:p>
    <w:p w:rsidR="000B32D5" w:rsidRDefault="000B32D5" w:rsidP="00DE4DAB">
      <w:pPr>
        <w:pStyle w:val="BHNormal"/>
        <w:numPr>
          <w:ilvl w:val="0"/>
          <w:numId w:val="19"/>
        </w:numPr>
      </w:pPr>
      <w:r w:rsidRPr="000B32D5">
        <w:rPr>
          <w:b/>
        </w:rPr>
        <w:t>IP High*:</w:t>
      </w:r>
      <w:r>
        <w:t xml:space="preserve"> IP High AO</w:t>
      </w:r>
      <w:r w:rsidR="00386D2B">
        <w:t>T</w:t>
      </w:r>
      <w:r>
        <w:t xml:space="preserve"> plus degraded AO</w:t>
      </w:r>
      <w:r w:rsidR="00386D2B">
        <w:t>T</w:t>
      </w:r>
      <w:r>
        <w:t xml:space="preserve"> due to cirrus clouds or soil-dominated surfaces (use for qualitative applications – comparable to MODIS Aqua AOD)</w:t>
      </w:r>
      <w:r w:rsidR="003F1E03">
        <w:t>.</w:t>
      </w:r>
    </w:p>
    <w:p w:rsidR="000B32D5" w:rsidRDefault="000B32D5" w:rsidP="00DE4DAB">
      <w:pPr>
        <w:pStyle w:val="BHNormal"/>
        <w:numPr>
          <w:ilvl w:val="0"/>
          <w:numId w:val="19"/>
        </w:numPr>
      </w:pPr>
      <w:r>
        <w:rPr>
          <w:b/>
        </w:rPr>
        <w:t>IP High &amp; Degraded:</w:t>
      </w:r>
      <w:r>
        <w:t xml:space="preserve"> IP High AO</w:t>
      </w:r>
      <w:r w:rsidR="00386D2B">
        <w:t>T</w:t>
      </w:r>
      <w:r>
        <w:t xml:space="preserve"> plus all degraded AO</w:t>
      </w:r>
      <w:r w:rsidR="00386D2B">
        <w:t>T</w:t>
      </w:r>
      <w:r w:rsidR="00C46C4E">
        <w:t xml:space="preserve"> (see </w:t>
      </w:r>
      <w:r w:rsidR="001B4EE4">
        <w:t>T</w:t>
      </w:r>
      <w:r w:rsidR="00C46C4E">
        <w:t>able</w:t>
      </w:r>
      <w:r w:rsidR="001B4EE4">
        <w:t xml:space="preserve"> 2</w:t>
      </w:r>
      <w:r w:rsidR="00C46C4E">
        <w:t xml:space="preserve"> in </w:t>
      </w:r>
      <w:r w:rsidR="001B4EE4">
        <w:t xml:space="preserve">the </w:t>
      </w:r>
      <w:r w:rsidR="00C46C4E">
        <w:t>Product Description for a list of degraded conditions)</w:t>
      </w:r>
      <w:r w:rsidR="003F1E03">
        <w:t>.</w:t>
      </w:r>
    </w:p>
    <w:p w:rsidR="000B32D5" w:rsidRDefault="00CE1854" w:rsidP="003F1E03">
      <w:pPr>
        <w:pStyle w:val="BHNormal"/>
        <w:numPr>
          <w:ilvl w:val="0"/>
          <w:numId w:val="19"/>
        </w:numPr>
      </w:pPr>
      <w:r w:rsidRPr="00CE1854">
        <w:rPr>
          <w:b/>
        </w:rPr>
        <w:lastRenderedPageBreak/>
        <w:t>EDR</w:t>
      </w:r>
      <w:r>
        <w:t xml:space="preserve"> AO</w:t>
      </w:r>
      <w:r w:rsidR="00386D2B">
        <w:t>T</w:t>
      </w:r>
      <w:r>
        <w:t xml:space="preserve"> has 3 levels of quality flags: </w:t>
      </w:r>
      <w:r w:rsidRPr="00CE1854">
        <w:rPr>
          <w:b/>
        </w:rPr>
        <w:t>High</w:t>
      </w:r>
      <w:r>
        <w:t xml:space="preserve">, </w:t>
      </w:r>
      <w:r w:rsidRPr="00CE1854">
        <w:rPr>
          <w:b/>
        </w:rPr>
        <w:t>Medium</w:t>
      </w:r>
      <w:r>
        <w:t xml:space="preserve">, and </w:t>
      </w:r>
      <w:r w:rsidRPr="00CE1854">
        <w:rPr>
          <w:b/>
        </w:rPr>
        <w:t>Low</w:t>
      </w:r>
      <w:r>
        <w:t>, based on the number of IP AO</w:t>
      </w:r>
      <w:r w:rsidR="00386D2B">
        <w:t>T</w:t>
      </w:r>
      <w:r>
        <w:t xml:space="preserve"> pixels with a particular quality flag falling inside or </w:t>
      </w:r>
      <w:r w:rsidR="003F1E03">
        <w:t xml:space="preserve">outside a threshold number (e.g., </w:t>
      </w:r>
      <w:r w:rsidR="003F1E03" w:rsidRPr="003F1E03">
        <w:rPr>
          <w:b/>
        </w:rPr>
        <w:t>EDR High</w:t>
      </w:r>
      <w:r w:rsidR="003F1E03">
        <w:t xml:space="preserve"> AO</w:t>
      </w:r>
      <w:r w:rsidR="00386D2B">
        <w:t>T</w:t>
      </w:r>
      <w:r w:rsidR="003F1E03">
        <w:t xml:space="preserve"> are comprised of &gt;</w:t>
      </w:r>
      <w:r w:rsidR="003F1E03" w:rsidRPr="003F1E03">
        <w:t xml:space="preserve">16 </w:t>
      </w:r>
      <w:r w:rsidR="003F1E03">
        <w:t xml:space="preserve">IP pixels [out of a possible 64] </w:t>
      </w:r>
      <w:r w:rsidR="003F1E03" w:rsidRPr="003F1E03">
        <w:t xml:space="preserve">and all </w:t>
      </w:r>
      <w:r w:rsidR="003F1E03">
        <w:t>of the IP</w:t>
      </w:r>
      <w:r w:rsidR="003F1E03" w:rsidRPr="003F1E03">
        <w:t xml:space="preserve"> pixels </w:t>
      </w:r>
      <w:r w:rsidR="003F1E03">
        <w:t xml:space="preserve">are </w:t>
      </w:r>
      <w:r w:rsidR="003F1E03" w:rsidRPr="003F1E03">
        <w:rPr>
          <w:b/>
        </w:rPr>
        <w:t xml:space="preserve">IP High </w:t>
      </w:r>
      <w:r w:rsidR="003F1E03" w:rsidRPr="00D242CF">
        <w:t>quality</w:t>
      </w:r>
      <w:r w:rsidR="003F1E03">
        <w:t>).</w:t>
      </w:r>
    </w:p>
    <w:p w:rsidR="006F42ED" w:rsidRDefault="006F42ED" w:rsidP="00892356">
      <w:pPr>
        <w:pStyle w:val="BHNormal"/>
        <w:ind w:left="720"/>
      </w:pPr>
    </w:p>
    <w:p w:rsidR="00BF7169" w:rsidRDefault="00BF7169" w:rsidP="00716EF6">
      <w:pPr>
        <w:pStyle w:val="BHNormal"/>
        <w:ind w:left="810" w:hanging="450"/>
      </w:pPr>
      <w:r w:rsidRPr="00CD6A3F">
        <w:rPr>
          <w:b/>
        </w:rPr>
        <w:t>2</w:t>
      </w:r>
      <w:r>
        <w:rPr>
          <w:b/>
        </w:rPr>
        <w:t>b</w:t>
      </w:r>
      <w:r w:rsidRPr="00CD6A3F">
        <w:rPr>
          <w:b/>
        </w:rPr>
        <w:t>.</w:t>
      </w:r>
      <w:r>
        <w:t xml:space="preserve"> Use the </w:t>
      </w:r>
      <w:r>
        <w:rPr>
          <w:b/>
        </w:rPr>
        <w:t>select date/calendar</w:t>
      </w:r>
      <w:r>
        <w:t xml:space="preserve"> feature to select </w:t>
      </w:r>
      <w:r w:rsidRPr="00CD6A3F">
        <w:rPr>
          <w:b/>
        </w:rPr>
        <w:t>September 9, 2013</w:t>
      </w:r>
      <w:r>
        <w:t xml:space="preserve"> and click the </w:t>
      </w:r>
      <w:r w:rsidRPr="00CD6A3F">
        <w:rPr>
          <w:b/>
        </w:rPr>
        <w:t>Go</w:t>
      </w:r>
      <w:r>
        <w:rPr>
          <w:b/>
        </w:rPr>
        <w:t xml:space="preserve"> </w:t>
      </w:r>
      <w:r>
        <w:t>button.</w:t>
      </w:r>
    </w:p>
    <w:p w:rsidR="00BF7169" w:rsidRDefault="00BF7169" w:rsidP="00BF7169">
      <w:pPr>
        <w:pStyle w:val="BHNormal"/>
      </w:pPr>
    </w:p>
    <w:p w:rsidR="00BF7169" w:rsidRPr="00892356" w:rsidRDefault="00BF7169" w:rsidP="00BF7169">
      <w:pPr>
        <w:pStyle w:val="BHNormal"/>
        <w:ind w:left="360"/>
        <w:rPr>
          <w:b/>
        </w:rPr>
      </w:pPr>
      <w:r w:rsidRPr="00892356">
        <w:rPr>
          <w:b/>
        </w:rPr>
        <w:t>2</w:t>
      </w:r>
      <w:r>
        <w:rPr>
          <w:b/>
        </w:rPr>
        <w:t>c</w:t>
      </w:r>
      <w:r w:rsidRPr="00892356">
        <w:rPr>
          <w:b/>
        </w:rPr>
        <w:t xml:space="preserve">. </w:t>
      </w:r>
      <w:r w:rsidRPr="00892356">
        <w:t>U</w:t>
      </w:r>
      <w:r>
        <w:t xml:space="preserve">se the </w:t>
      </w:r>
      <w:r w:rsidRPr="00892356">
        <w:rPr>
          <w:b/>
        </w:rPr>
        <w:t>zoom slider</w:t>
      </w:r>
      <w:r>
        <w:t xml:space="preserve"> or </w:t>
      </w:r>
      <w:r w:rsidRPr="00892356">
        <w:rPr>
          <w:b/>
        </w:rPr>
        <w:t>double click on the imagery</w:t>
      </w:r>
      <w:r>
        <w:t xml:space="preserve"> to zoom into the </w:t>
      </w:r>
      <w:r w:rsidRPr="00892356">
        <w:rPr>
          <w:b/>
        </w:rPr>
        <w:t>Rim Fire</w:t>
      </w:r>
      <w:r>
        <w:t xml:space="preserve"> in CA.  </w:t>
      </w:r>
    </w:p>
    <w:p w:rsidR="00BF7169" w:rsidRDefault="00BF7169" w:rsidP="00BF7169">
      <w:pPr>
        <w:pStyle w:val="BHNormal"/>
      </w:pPr>
    </w:p>
    <w:p w:rsidR="00552184" w:rsidRDefault="000D18B6" w:rsidP="0075759F">
      <w:pPr>
        <w:pStyle w:val="BHNormal"/>
        <w:ind w:left="360"/>
      </w:pPr>
      <w:r w:rsidRPr="000D18B6">
        <w:rPr>
          <w:b/>
        </w:rPr>
        <w:t>2d.</w:t>
      </w:r>
      <w:r>
        <w:t xml:space="preserve"> </w:t>
      </w:r>
      <w:r w:rsidRPr="000D18B6">
        <w:rPr>
          <w:b/>
        </w:rPr>
        <w:t>Explore</w:t>
      </w:r>
      <w:r>
        <w:t xml:space="preserve"> the AO</w:t>
      </w:r>
      <w:r w:rsidR="00386D2B">
        <w:t>T</w:t>
      </w:r>
      <w:r>
        <w:t xml:space="preserve"> and RGB </w:t>
      </w:r>
      <w:r w:rsidR="006F42ED">
        <w:t>data</w:t>
      </w:r>
      <w:r>
        <w:t>.</w:t>
      </w:r>
      <w:r w:rsidR="0075759F">
        <w:t xml:space="preserve">  </w:t>
      </w:r>
      <w:r w:rsidR="00D66CBF">
        <w:t>Note that t</w:t>
      </w:r>
      <w:r w:rsidR="00892356">
        <w:t xml:space="preserve">he default is </w:t>
      </w:r>
      <w:r w:rsidR="00892356" w:rsidRPr="00D242CF">
        <w:rPr>
          <w:b/>
        </w:rPr>
        <w:t>EDR</w:t>
      </w:r>
      <w:r w:rsidR="00D242CF" w:rsidRPr="00D242CF">
        <w:rPr>
          <w:b/>
        </w:rPr>
        <w:t xml:space="preserve"> High</w:t>
      </w:r>
      <w:r w:rsidR="00D242CF">
        <w:t xml:space="preserve"> AO</w:t>
      </w:r>
      <w:r w:rsidR="00386D2B">
        <w:t>T</w:t>
      </w:r>
      <w:r w:rsidR="00D242CF">
        <w:t xml:space="preserve"> overlaid on RGB imagery.</w:t>
      </w:r>
      <w:r w:rsidR="00746C07">
        <w:t xml:space="preserve">  </w:t>
      </w:r>
    </w:p>
    <w:p w:rsidR="00746C07" w:rsidRDefault="00746C07" w:rsidP="001179A4">
      <w:pPr>
        <w:pStyle w:val="BHNormal"/>
        <w:numPr>
          <w:ilvl w:val="0"/>
          <w:numId w:val="20"/>
        </w:numPr>
        <w:ind w:left="1080"/>
      </w:pPr>
      <w:r>
        <w:t xml:space="preserve">Use the </w:t>
      </w:r>
      <w:r w:rsidRPr="00746C07">
        <w:rPr>
          <w:b/>
        </w:rPr>
        <w:t>AO</w:t>
      </w:r>
      <w:r w:rsidR="00386D2B">
        <w:rPr>
          <w:b/>
        </w:rPr>
        <w:t>T</w:t>
      </w:r>
      <w:r w:rsidRPr="00746C07">
        <w:rPr>
          <w:b/>
        </w:rPr>
        <w:t xml:space="preserve"> Opacity</w:t>
      </w:r>
      <w:r>
        <w:t xml:space="preserve"> slider to completely hide the AO</w:t>
      </w:r>
      <w:r w:rsidR="00386D2B">
        <w:t>T</w:t>
      </w:r>
      <w:r>
        <w:t xml:space="preserve"> data (</w:t>
      </w:r>
      <w:r w:rsidR="00D66CBF">
        <w:t xml:space="preserve">drag the </w:t>
      </w:r>
      <w:r>
        <w:t xml:space="preserve">slider bar completely to </w:t>
      </w:r>
      <w:r w:rsidR="00D66CBF">
        <w:t xml:space="preserve">the </w:t>
      </w:r>
      <w:r>
        <w:t xml:space="preserve">left).  You should see the </w:t>
      </w:r>
      <w:r w:rsidRPr="00746C07">
        <w:rPr>
          <w:b/>
        </w:rPr>
        <w:t>dark grey smoke</w:t>
      </w:r>
      <w:r>
        <w:t xml:space="preserve"> from the fire in the RGB imagery in the vicinity of Yosemite National Park.  </w:t>
      </w:r>
      <w:r w:rsidR="00FE7FD4">
        <w:t xml:space="preserve">Slowly move the </w:t>
      </w:r>
      <w:r w:rsidR="00FE7FD4" w:rsidRPr="00746C07">
        <w:rPr>
          <w:b/>
        </w:rPr>
        <w:t>AO</w:t>
      </w:r>
      <w:r w:rsidR="00386D2B">
        <w:rPr>
          <w:b/>
        </w:rPr>
        <w:t>T</w:t>
      </w:r>
      <w:r w:rsidR="00FE7FD4" w:rsidRPr="00746C07">
        <w:rPr>
          <w:b/>
        </w:rPr>
        <w:t xml:space="preserve"> Opacity</w:t>
      </w:r>
      <w:r w:rsidR="00FE7FD4">
        <w:t xml:space="preserve"> slider all the way to the right to see the EDR High AO</w:t>
      </w:r>
      <w:r w:rsidR="00386D2B">
        <w:t>T</w:t>
      </w:r>
      <w:r w:rsidR="00FE7FD4">
        <w:t xml:space="preserve"> pixels that correspond to smoke from the fire.</w:t>
      </w:r>
    </w:p>
    <w:p w:rsidR="00FE7FD4" w:rsidRDefault="009112DA" w:rsidP="001179A4">
      <w:pPr>
        <w:pStyle w:val="BHNormal"/>
        <w:numPr>
          <w:ilvl w:val="0"/>
          <w:numId w:val="20"/>
        </w:numPr>
        <w:ind w:left="1080"/>
      </w:pPr>
      <w:r>
        <w:t xml:space="preserve">Click back and forth between the </w:t>
      </w:r>
      <w:r w:rsidRPr="009112DA">
        <w:rPr>
          <w:b/>
        </w:rPr>
        <w:t>EDR High</w:t>
      </w:r>
      <w:r>
        <w:t xml:space="preserve"> and </w:t>
      </w:r>
      <w:r w:rsidRPr="009112DA">
        <w:rPr>
          <w:b/>
        </w:rPr>
        <w:t>EDR High &amp; Medium</w:t>
      </w:r>
      <w:r>
        <w:t xml:space="preserve"> AO</w:t>
      </w:r>
      <w:r w:rsidR="00386D2B">
        <w:t>T</w:t>
      </w:r>
      <w:r>
        <w:t xml:space="preserve"> to see the differences in coverage between the two qualities of EDR AO</w:t>
      </w:r>
      <w:r w:rsidR="00386D2B">
        <w:t>T</w:t>
      </w:r>
      <w:r>
        <w:t xml:space="preserve"> data.</w:t>
      </w:r>
    </w:p>
    <w:p w:rsidR="00916284" w:rsidRDefault="00916284" w:rsidP="001179A4">
      <w:pPr>
        <w:pStyle w:val="BHNormal"/>
        <w:numPr>
          <w:ilvl w:val="0"/>
          <w:numId w:val="20"/>
        </w:numPr>
        <w:ind w:left="1080"/>
      </w:pPr>
      <w:r>
        <w:t xml:space="preserve">Click back and forth between the </w:t>
      </w:r>
      <w:r w:rsidRPr="00916284">
        <w:rPr>
          <w:b/>
        </w:rPr>
        <w:t>IP High</w:t>
      </w:r>
      <w:r>
        <w:t xml:space="preserve"> and </w:t>
      </w:r>
      <w:r w:rsidRPr="00916284">
        <w:rPr>
          <w:b/>
        </w:rPr>
        <w:t>EDR High</w:t>
      </w:r>
      <w:r>
        <w:t xml:space="preserve"> AO</w:t>
      </w:r>
      <w:r w:rsidR="00386D2B">
        <w:t>T</w:t>
      </w:r>
      <w:r>
        <w:t xml:space="preserve"> to see the differences in coverage and pixel size between the IP and EDR AO</w:t>
      </w:r>
      <w:r w:rsidR="00386D2B">
        <w:t>T</w:t>
      </w:r>
      <w:r>
        <w:t xml:space="preserve"> data.</w:t>
      </w:r>
    </w:p>
    <w:p w:rsidR="00916284" w:rsidRDefault="00916284" w:rsidP="001179A4">
      <w:pPr>
        <w:pStyle w:val="BHNormal"/>
        <w:numPr>
          <w:ilvl w:val="0"/>
          <w:numId w:val="20"/>
        </w:numPr>
        <w:ind w:left="1080"/>
      </w:pPr>
      <w:r>
        <w:t xml:space="preserve">Click back and forth between the </w:t>
      </w:r>
      <w:r>
        <w:rPr>
          <w:b/>
        </w:rPr>
        <w:t>IP</w:t>
      </w:r>
      <w:r w:rsidRPr="009112DA">
        <w:rPr>
          <w:b/>
        </w:rPr>
        <w:t xml:space="preserve"> High</w:t>
      </w:r>
      <w:r>
        <w:t xml:space="preserve">, </w:t>
      </w:r>
      <w:r w:rsidRPr="00916284">
        <w:rPr>
          <w:b/>
        </w:rPr>
        <w:t>IP High*</w:t>
      </w:r>
      <w:r>
        <w:t xml:space="preserve">, and </w:t>
      </w:r>
      <w:r>
        <w:rPr>
          <w:b/>
        </w:rPr>
        <w:t xml:space="preserve">IP </w:t>
      </w:r>
      <w:r w:rsidRPr="009112DA">
        <w:rPr>
          <w:b/>
        </w:rPr>
        <w:t xml:space="preserve">High &amp; </w:t>
      </w:r>
      <w:r>
        <w:rPr>
          <w:b/>
        </w:rPr>
        <w:t>Degraded</w:t>
      </w:r>
      <w:r>
        <w:t xml:space="preserve"> AO</w:t>
      </w:r>
      <w:r w:rsidR="00386D2B">
        <w:t>T</w:t>
      </w:r>
      <w:r>
        <w:t xml:space="preserve"> to see the differences in coverage between the </w:t>
      </w:r>
      <w:r w:rsidR="006F42ED">
        <w:t>various</w:t>
      </w:r>
      <w:r>
        <w:t xml:space="preserve"> qualities of </w:t>
      </w:r>
      <w:r w:rsidR="006F42ED">
        <w:t xml:space="preserve">IP </w:t>
      </w:r>
      <w:r>
        <w:t>AO</w:t>
      </w:r>
      <w:r w:rsidR="00386D2B">
        <w:t>T</w:t>
      </w:r>
      <w:r>
        <w:t xml:space="preserve"> data.</w:t>
      </w:r>
    </w:p>
    <w:p w:rsidR="00916284" w:rsidRDefault="00BF7C67" w:rsidP="001179A4">
      <w:pPr>
        <w:pStyle w:val="BHNormal"/>
        <w:numPr>
          <w:ilvl w:val="0"/>
          <w:numId w:val="20"/>
        </w:numPr>
        <w:ind w:left="1080"/>
      </w:pPr>
      <w:r>
        <w:t xml:space="preserve">Use the </w:t>
      </w:r>
      <w:r>
        <w:rPr>
          <w:b/>
        </w:rPr>
        <w:t>RGB</w:t>
      </w:r>
      <w:r w:rsidRPr="00746C07">
        <w:rPr>
          <w:b/>
        </w:rPr>
        <w:t xml:space="preserve"> Opacity</w:t>
      </w:r>
      <w:r>
        <w:t xml:space="preserve"> slider to completely hide the RGB </w:t>
      </w:r>
      <w:r w:rsidR="006033B2">
        <w:t>imagery</w:t>
      </w:r>
      <w:r>
        <w:t xml:space="preserve"> (</w:t>
      </w:r>
      <w:r w:rsidR="00D66CBF">
        <w:t xml:space="preserve">drag the </w:t>
      </w:r>
      <w:r>
        <w:t>slider bar completely to</w:t>
      </w:r>
      <w:r w:rsidR="00D66CBF">
        <w:t xml:space="preserve"> the</w:t>
      </w:r>
      <w:r>
        <w:t xml:space="preserve"> left).  You should see the AO</w:t>
      </w:r>
      <w:r w:rsidR="00386D2B">
        <w:t>T</w:t>
      </w:r>
      <w:r>
        <w:t xml:space="preserve"> </w:t>
      </w:r>
      <w:r w:rsidR="006033B2">
        <w:t>imagery</w:t>
      </w:r>
      <w:r>
        <w:t xml:space="preserve"> on a black background.  Slowly move the </w:t>
      </w:r>
      <w:r>
        <w:rPr>
          <w:b/>
        </w:rPr>
        <w:t>RGB</w:t>
      </w:r>
      <w:r w:rsidRPr="00746C07">
        <w:rPr>
          <w:b/>
        </w:rPr>
        <w:t xml:space="preserve"> Opacity</w:t>
      </w:r>
      <w:r>
        <w:t xml:space="preserve"> slider all the way to the right to see the RGB imagery underneath the AO</w:t>
      </w:r>
      <w:r w:rsidR="00386D2B">
        <w:t>T</w:t>
      </w:r>
      <w:r>
        <w:t xml:space="preserve"> </w:t>
      </w:r>
      <w:r w:rsidR="006033B2">
        <w:t>imagery</w:t>
      </w:r>
      <w:r>
        <w:t>.</w:t>
      </w:r>
    </w:p>
    <w:p w:rsidR="00892356" w:rsidRDefault="00892356" w:rsidP="0075759F">
      <w:pPr>
        <w:pStyle w:val="BHNormal"/>
      </w:pPr>
    </w:p>
    <w:p w:rsidR="00552184" w:rsidRDefault="0075759F" w:rsidP="0035742B">
      <w:pPr>
        <w:pStyle w:val="BHNormal"/>
        <w:ind w:left="360"/>
      </w:pPr>
      <w:r w:rsidRPr="0075759F">
        <w:rPr>
          <w:b/>
        </w:rPr>
        <w:t>2e.</w:t>
      </w:r>
      <w:r>
        <w:t xml:space="preserve"> </w:t>
      </w:r>
      <w:r w:rsidR="0035742B" w:rsidRPr="00D66CBF">
        <w:rPr>
          <w:b/>
        </w:rPr>
        <w:t>Explore</w:t>
      </w:r>
      <w:r w:rsidR="0035742B">
        <w:t xml:space="preserve"> the </w:t>
      </w:r>
      <w:r w:rsidR="00D66CBF">
        <w:t>additional</w:t>
      </w:r>
      <w:r w:rsidR="000A1337">
        <w:t xml:space="preserve"> </w:t>
      </w:r>
      <w:r w:rsidR="00D66CBF">
        <w:t>features</w:t>
      </w:r>
      <w:r w:rsidR="000A1337">
        <w:t xml:space="preserve"> </w:t>
      </w:r>
      <w:r w:rsidR="00D66CBF">
        <w:t xml:space="preserve">and </w:t>
      </w:r>
      <w:r w:rsidR="00B76578">
        <w:t xml:space="preserve">data </w:t>
      </w:r>
      <w:r w:rsidR="00D66CBF">
        <w:t>visualization options.</w:t>
      </w:r>
    </w:p>
    <w:p w:rsidR="0045760F" w:rsidRDefault="0045760F" w:rsidP="0045760F">
      <w:pPr>
        <w:pStyle w:val="BHNormal"/>
        <w:numPr>
          <w:ilvl w:val="0"/>
          <w:numId w:val="18"/>
        </w:numPr>
      </w:pPr>
      <w:r>
        <w:t xml:space="preserve">Use the </w:t>
      </w:r>
      <w:r w:rsidRPr="00746C07">
        <w:rPr>
          <w:b/>
        </w:rPr>
        <w:t>AO</w:t>
      </w:r>
      <w:r w:rsidR="00386D2B">
        <w:rPr>
          <w:b/>
        </w:rPr>
        <w:t>T</w:t>
      </w:r>
      <w:r w:rsidRPr="00746C07">
        <w:rPr>
          <w:b/>
        </w:rPr>
        <w:t xml:space="preserve"> Opacity</w:t>
      </w:r>
      <w:r>
        <w:t xml:space="preserve"> slider to completely hide the AO</w:t>
      </w:r>
      <w:r w:rsidR="00386D2B">
        <w:t>T</w:t>
      </w:r>
      <w:r>
        <w:t xml:space="preserve"> data (drag the slider bar completely to the left).  Click the </w:t>
      </w:r>
      <w:r w:rsidRPr="0045760F">
        <w:rPr>
          <w:b/>
        </w:rPr>
        <w:t>Toggle Fire Hotspots</w:t>
      </w:r>
      <w:r>
        <w:t xml:space="preserve"> button to turn the satellite-identified fire hotspots (red circles) on and off.  </w:t>
      </w:r>
      <w:r w:rsidR="00A2204F">
        <w:t xml:space="preserve">These hotspots are burning fires identified by VIIRS.  If you can’t see </w:t>
      </w:r>
      <w:r w:rsidR="00273146">
        <w:t>any</w:t>
      </w:r>
      <w:r w:rsidR="00A2204F">
        <w:t xml:space="preserve"> hotpots, zoom out a little bit.</w:t>
      </w:r>
    </w:p>
    <w:p w:rsidR="00E119F8" w:rsidRDefault="00E119F8" w:rsidP="0045760F">
      <w:pPr>
        <w:pStyle w:val="BHNormal"/>
        <w:numPr>
          <w:ilvl w:val="0"/>
          <w:numId w:val="18"/>
        </w:numPr>
      </w:pPr>
      <w:r>
        <w:t>While zoomed in</w:t>
      </w:r>
      <w:r w:rsidR="00273146">
        <w:t xml:space="preserve"> on the fire</w:t>
      </w:r>
      <w:r>
        <w:t xml:space="preserve">, click the </w:t>
      </w:r>
      <w:r w:rsidRPr="00E119F8">
        <w:rPr>
          <w:b/>
        </w:rPr>
        <w:t>Toggle County</w:t>
      </w:r>
      <w:r>
        <w:t xml:space="preserve"> button to turn county boundary lines on and off.</w:t>
      </w:r>
    </w:p>
    <w:p w:rsidR="007A5095" w:rsidRDefault="007A5095" w:rsidP="007A5095">
      <w:pPr>
        <w:pStyle w:val="BHNormal"/>
        <w:numPr>
          <w:ilvl w:val="0"/>
          <w:numId w:val="18"/>
        </w:numPr>
      </w:pPr>
      <w:r>
        <w:t xml:space="preserve">Download some (or all) of the image files using the </w:t>
      </w:r>
      <w:r w:rsidRPr="007A5095">
        <w:rPr>
          <w:b/>
        </w:rPr>
        <w:t>Image Files Download</w:t>
      </w:r>
      <w:r>
        <w:t xml:space="preserve"> links at the bottom right, under the Toggle County button.</w:t>
      </w:r>
    </w:p>
    <w:p w:rsidR="00B76578" w:rsidRDefault="00B76578" w:rsidP="0045760F">
      <w:pPr>
        <w:pStyle w:val="BHNormal"/>
        <w:numPr>
          <w:ilvl w:val="0"/>
          <w:numId w:val="18"/>
        </w:numPr>
      </w:pPr>
      <w:r>
        <w:t xml:space="preserve">Use the </w:t>
      </w:r>
      <w:r w:rsidRPr="00B76578">
        <w:rPr>
          <w:b/>
        </w:rPr>
        <w:t>Previous Forecast Day</w:t>
      </w:r>
      <w:r>
        <w:t xml:space="preserve"> and </w:t>
      </w:r>
      <w:r w:rsidRPr="00B76578">
        <w:rPr>
          <w:b/>
        </w:rPr>
        <w:t>Next Forecast Day</w:t>
      </w:r>
      <w:r>
        <w:t xml:space="preserve"> arrows (to the left of the </w:t>
      </w:r>
      <w:r w:rsidRPr="00B76578">
        <w:rPr>
          <w:b/>
        </w:rPr>
        <w:t>select date/calendar</w:t>
      </w:r>
      <w:r>
        <w:t>) to quickly move back and forth between consecutive days.  This is useful for a multi-day event, such as the Rim Fire, which burned for several weeks.</w:t>
      </w:r>
    </w:p>
    <w:p w:rsidR="007A5095" w:rsidRDefault="00273146" w:rsidP="00716EF6">
      <w:pPr>
        <w:pStyle w:val="BHNormal"/>
        <w:numPr>
          <w:ilvl w:val="0"/>
          <w:numId w:val="18"/>
        </w:numPr>
      </w:pPr>
      <w:r>
        <w:t>T</w:t>
      </w:r>
      <w:r w:rsidR="0045760F" w:rsidRPr="0045760F">
        <w:t xml:space="preserve">he </w:t>
      </w:r>
      <w:r w:rsidR="0045760F" w:rsidRPr="0045760F">
        <w:rPr>
          <w:b/>
        </w:rPr>
        <w:t>Toggle Dusk Mask</w:t>
      </w:r>
      <w:r w:rsidR="0045760F" w:rsidRPr="0045760F">
        <w:t xml:space="preserve"> button turn</w:t>
      </w:r>
      <w:r>
        <w:t>s</w:t>
      </w:r>
      <w:r w:rsidR="0045760F" w:rsidRPr="0045760F">
        <w:t xml:space="preserve"> the VIIRS dust mask on and off.  See the </w:t>
      </w:r>
      <w:r w:rsidR="0045760F" w:rsidRPr="0045760F">
        <w:rPr>
          <w:b/>
        </w:rPr>
        <w:t>Product Description</w:t>
      </w:r>
      <w:r w:rsidR="0045760F" w:rsidRPr="0045760F">
        <w:t xml:space="preserve"> (link on upper right above the </w:t>
      </w:r>
      <w:r w:rsidR="0045760F" w:rsidRPr="0045760F">
        <w:rPr>
          <w:b/>
        </w:rPr>
        <w:t>Select AO</w:t>
      </w:r>
      <w:r w:rsidR="00386D2B">
        <w:rPr>
          <w:b/>
        </w:rPr>
        <w:t>T</w:t>
      </w:r>
      <w:r w:rsidR="0045760F" w:rsidRPr="0045760F">
        <w:rPr>
          <w:b/>
        </w:rPr>
        <w:t xml:space="preserve"> &amp; Quality</w:t>
      </w:r>
      <w:r w:rsidR="0045760F" w:rsidRPr="0045760F">
        <w:t xml:space="preserve"> buttons) for more information on the dust mask.  There wasn’t any blowing dust on Sept 9, 2013</w:t>
      </w:r>
      <w:r w:rsidR="0045760F">
        <w:t xml:space="preserve"> in the CONUS</w:t>
      </w:r>
      <w:r w:rsidR="0045760F" w:rsidRPr="0045760F">
        <w:t>, so you won’t see any difference in the</w:t>
      </w:r>
      <w:r>
        <w:t xml:space="preserve"> CONUS VIIRS</w:t>
      </w:r>
      <w:r w:rsidR="0045760F" w:rsidRPr="0045760F">
        <w:t xml:space="preserve"> imagery with the dust mask on.</w:t>
      </w:r>
      <w:r w:rsidR="007A5095">
        <w:t xml:space="preserve">  Use the</w:t>
      </w:r>
      <w:r w:rsidR="007A5095" w:rsidRPr="007A5095">
        <w:rPr>
          <w:b/>
        </w:rPr>
        <w:t xml:space="preserve"> </w:t>
      </w:r>
      <w:r w:rsidR="007A5095" w:rsidRPr="00B76578">
        <w:rPr>
          <w:b/>
        </w:rPr>
        <w:t>select date/calendar</w:t>
      </w:r>
      <w:r w:rsidR="007A5095">
        <w:t xml:space="preserve"> to go to </w:t>
      </w:r>
      <w:r w:rsidR="007A5095" w:rsidRPr="007A5095">
        <w:rPr>
          <w:b/>
        </w:rPr>
        <w:t>Sept 4</w:t>
      </w:r>
      <w:r w:rsidR="007A5095">
        <w:t xml:space="preserve"> and zoom in on </w:t>
      </w:r>
      <w:r w:rsidR="007A5095">
        <w:lastRenderedPageBreak/>
        <w:t xml:space="preserve">NV/CA.  Click the </w:t>
      </w:r>
      <w:r w:rsidR="007A5095" w:rsidRPr="0045760F">
        <w:rPr>
          <w:b/>
        </w:rPr>
        <w:t>Toggle Dust Mask</w:t>
      </w:r>
      <w:r w:rsidR="007A5095">
        <w:t xml:space="preserve"> button to see </w:t>
      </w:r>
      <w:r w:rsidR="007A5095">
        <w:t>isolated areas of blowing dust across NV and southern CA.</w:t>
      </w:r>
    </w:p>
    <w:p w:rsidR="007A5095" w:rsidRDefault="007A5095" w:rsidP="007A5095">
      <w:pPr>
        <w:pStyle w:val="BHNormal"/>
        <w:ind w:left="720"/>
      </w:pPr>
    </w:p>
    <w:p w:rsidR="00997CFA" w:rsidRDefault="0045760F" w:rsidP="007A5095">
      <w:pPr>
        <w:pStyle w:val="BHNormal"/>
        <w:ind w:left="1080"/>
      </w:pPr>
      <w:r>
        <w:t xml:space="preserve">To </w:t>
      </w:r>
      <w:r w:rsidR="007A5095">
        <w:t xml:space="preserve">get the full </w:t>
      </w:r>
      <w:r>
        <w:t xml:space="preserve">experience </w:t>
      </w:r>
      <w:r w:rsidR="007A5095">
        <w:t xml:space="preserve">of </w:t>
      </w:r>
      <w:r>
        <w:t xml:space="preserve">the dust mask feature, click on the </w:t>
      </w:r>
      <w:r w:rsidRPr="0045760F">
        <w:rPr>
          <w:b/>
        </w:rPr>
        <w:t>VIIRS Global</w:t>
      </w:r>
      <w:r>
        <w:t xml:space="preserve"> tab and go to </w:t>
      </w:r>
      <w:r w:rsidRPr="0045760F">
        <w:rPr>
          <w:b/>
        </w:rPr>
        <w:t>September 15</w:t>
      </w:r>
      <w:r>
        <w:t xml:space="preserve"> using the </w:t>
      </w:r>
      <w:r w:rsidRPr="0045760F">
        <w:rPr>
          <w:b/>
        </w:rPr>
        <w:t>select date/calendar</w:t>
      </w:r>
      <w:r>
        <w:t xml:space="preserve"> feature.  Click on the </w:t>
      </w:r>
      <w:r w:rsidRPr="0045760F">
        <w:rPr>
          <w:b/>
        </w:rPr>
        <w:t>Toggle Dust Mask</w:t>
      </w:r>
      <w:r>
        <w:t xml:space="preserve"> button</w:t>
      </w:r>
      <w:r w:rsidR="00BD176D">
        <w:t xml:space="preserve"> and zoom in</w:t>
      </w:r>
      <w:r>
        <w:t xml:space="preserve"> </w:t>
      </w:r>
      <w:r w:rsidR="00BD176D">
        <w:t xml:space="preserve">to </w:t>
      </w:r>
      <w:r>
        <w:t xml:space="preserve">northern Africa and the Arabian </w:t>
      </w:r>
      <w:r w:rsidR="00DF37D1">
        <w:t>Peninsula</w:t>
      </w:r>
      <w:r w:rsidR="00BD176D">
        <w:t xml:space="preserve"> to see widespread blowing dust</w:t>
      </w:r>
      <w:bookmarkStart w:id="0" w:name="_GoBack"/>
      <w:bookmarkEnd w:id="0"/>
      <w:r>
        <w:t xml:space="preserve">.  </w:t>
      </w:r>
    </w:p>
    <w:p w:rsidR="00273146" w:rsidRDefault="00273146" w:rsidP="00273146">
      <w:pPr>
        <w:pStyle w:val="BHNormal"/>
      </w:pPr>
    </w:p>
    <w:p w:rsidR="00273146" w:rsidRDefault="00273146" w:rsidP="00273146">
      <w:pPr>
        <w:pStyle w:val="BHNormal"/>
      </w:pPr>
    </w:p>
    <w:p w:rsidR="00997CFA" w:rsidRPr="0059313F" w:rsidRDefault="00997CFA" w:rsidP="00997CFA">
      <w:pPr>
        <w:pStyle w:val="BHNormal"/>
        <w:jc w:val="center"/>
        <w:rPr>
          <w:b/>
          <w:sz w:val="28"/>
          <w:u w:val="single"/>
        </w:rPr>
      </w:pPr>
      <w:r w:rsidRPr="0059313F">
        <w:rPr>
          <w:b/>
          <w:sz w:val="28"/>
          <w:u w:val="single"/>
        </w:rPr>
        <w:t>July 2, 2013 Case Study</w:t>
      </w:r>
    </w:p>
    <w:p w:rsidR="00997CFA" w:rsidRDefault="00997CFA" w:rsidP="00997CFA">
      <w:pPr>
        <w:pStyle w:val="BHNormal"/>
        <w:jc w:val="both"/>
      </w:pPr>
    </w:p>
    <w:p w:rsidR="00997CFA" w:rsidRPr="003C44CE" w:rsidRDefault="00997CFA" w:rsidP="00997CFA">
      <w:pPr>
        <w:pStyle w:val="BHNormal"/>
        <w:rPr>
          <w:b/>
        </w:rPr>
      </w:pPr>
      <w:r>
        <w:rPr>
          <w:b/>
        </w:rPr>
        <w:t>Case Study Event S</w:t>
      </w:r>
      <w:r w:rsidRPr="003C44CE">
        <w:rPr>
          <w:b/>
        </w:rPr>
        <w:t xml:space="preserve">ummary: </w:t>
      </w:r>
      <w:r w:rsidR="007E19BF">
        <w:t xml:space="preserve"> Wildfires burned for several weeks during the early summer in Quebec province in southeastern Canada.  On July 2, smoke from these fires </w:t>
      </w:r>
      <w:proofErr w:type="spellStart"/>
      <w:r w:rsidR="007E19BF">
        <w:t>advected</w:t>
      </w:r>
      <w:proofErr w:type="spellEnd"/>
      <w:r w:rsidR="007E19BF">
        <w:t xml:space="preserve"> south and mixed down to the surface</w:t>
      </w:r>
      <w:r>
        <w:t>, resulting in localized Code Yellow (Moderate), Code Orange (Unhealthy for Sensitive Groups) and Code Red (Unhealthy)</w:t>
      </w:r>
      <w:r w:rsidRPr="002D79EA">
        <w:t xml:space="preserve"> </w:t>
      </w:r>
      <w:r w:rsidRPr="00514FEA">
        <w:t>PM</w:t>
      </w:r>
      <w:r w:rsidRPr="00514FEA">
        <w:rPr>
          <w:vertAlign w:val="subscript"/>
        </w:rPr>
        <w:t>2.5</w:t>
      </w:r>
      <w:r>
        <w:t xml:space="preserve"> conditions</w:t>
      </w:r>
      <w:r w:rsidR="007E19BF">
        <w:t xml:space="preserve"> in northern New York State, northern New England, and southern Quebec</w:t>
      </w:r>
      <w:r>
        <w:t xml:space="preserve">.  </w:t>
      </w:r>
      <w:r w:rsidR="007E19BF">
        <w:t xml:space="preserve">There were also widespread Code Yellow (Moderate) </w:t>
      </w:r>
      <w:r w:rsidR="007E19BF" w:rsidRPr="00D72644">
        <w:t>PM</w:t>
      </w:r>
      <w:r w:rsidR="007E19BF" w:rsidRPr="00D72644">
        <w:rPr>
          <w:vertAlign w:val="subscript"/>
        </w:rPr>
        <w:t>2.5</w:t>
      </w:r>
      <w:r w:rsidR="007E19BF">
        <w:t xml:space="preserve"> conditions across t</w:t>
      </w:r>
      <w:r w:rsidR="00601A10">
        <w:t>he MRV, Plains states, and TX</w:t>
      </w:r>
      <w:r w:rsidR="007E19BF">
        <w:t xml:space="preserve"> due to haze and smoke from agricultural fires</w:t>
      </w:r>
      <w:r w:rsidR="00601A10">
        <w:t>, as well as in northern CA and southern OR due to remnant smoke from wildfires</w:t>
      </w:r>
      <w:r w:rsidR="007E19BF">
        <w:t xml:space="preserve">.  </w:t>
      </w:r>
    </w:p>
    <w:p w:rsidR="00997CFA" w:rsidRDefault="00997CFA" w:rsidP="00997CFA">
      <w:pPr>
        <w:pStyle w:val="BHNormal"/>
      </w:pPr>
    </w:p>
    <w:p w:rsidR="00997CFA" w:rsidRDefault="00997CFA" w:rsidP="00997CFA">
      <w:pPr>
        <w:pStyle w:val="BHNormal"/>
        <w:numPr>
          <w:ilvl w:val="0"/>
          <w:numId w:val="1"/>
        </w:numPr>
        <w:ind w:left="360"/>
      </w:pPr>
      <w:r w:rsidRPr="00E12879">
        <w:rPr>
          <w:b/>
        </w:rPr>
        <w:t>Open the accompanying</w:t>
      </w:r>
      <w:r>
        <w:rPr>
          <w:b/>
        </w:rPr>
        <w:t xml:space="preserve"> “July 2 2013_AQI_Met”</w:t>
      </w:r>
      <w:r w:rsidRPr="00E12879">
        <w:rPr>
          <w:b/>
        </w:rPr>
        <w:t xml:space="preserve"> Power Point file</w:t>
      </w:r>
      <w:r>
        <w:rPr>
          <w:b/>
        </w:rPr>
        <w:t xml:space="preserve"> </w:t>
      </w:r>
      <w:r w:rsidRPr="00283066">
        <w:rPr>
          <w:b/>
        </w:rPr>
        <w:t>and activate it in “slide show” mode</w:t>
      </w:r>
      <w:r w:rsidRPr="00E12879">
        <w:rPr>
          <w:b/>
          <w:i/>
        </w:rPr>
        <w:t>.</w:t>
      </w:r>
      <w:r>
        <w:rPr>
          <w:b/>
        </w:rPr>
        <w:t xml:space="preserve">  </w:t>
      </w:r>
      <w:r w:rsidRPr="00E85634">
        <w:t xml:space="preserve">The file can be downloaded from the </w:t>
      </w:r>
      <w:r w:rsidR="006424B7">
        <w:t>VIIRS workshop</w:t>
      </w:r>
      <w:r w:rsidRPr="00E85634">
        <w:t xml:space="preserve"> website (</w:t>
      </w:r>
      <w:hyperlink r:id="rId10" w:history="1">
        <w:r w:rsidR="006424B7" w:rsidRPr="006424B7">
          <w:rPr>
            <w:rStyle w:val="Hyperlink"/>
          </w:rPr>
          <w:t>http://alg.umbc.edu/aqpg/viirs_workshop/</w:t>
        </w:r>
      </w:hyperlink>
      <w:r w:rsidRPr="00E85634">
        <w:t>).</w:t>
      </w:r>
      <w:r>
        <w:t xml:space="preserve">  </w:t>
      </w:r>
    </w:p>
    <w:p w:rsidR="00997CFA" w:rsidRDefault="00997CFA" w:rsidP="00997CFA">
      <w:pPr>
        <w:pStyle w:val="BHNormal"/>
      </w:pPr>
    </w:p>
    <w:p w:rsidR="00997CFA" w:rsidRDefault="00743303" w:rsidP="00743303">
      <w:pPr>
        <w:pStyle w:val="BHNormal"/>
        <w:ind w:left="360"/>
      </w:pPr>
      <w:r>
        <w:t>Review the air quality and meteorological information in the Power Point file, as for the Sept 9 case study (Step 1).</w:t>
      </w:r>
    </w:p>
    <w:p w:rsidR="0035742B" w:rsidRDefault="0035742B" w:rsidP="00552184">
      <w:pPr>
        <w:pStyle w:val="BHNormal"/>
      </w:pPr>
    </w:p>
    <w:p w:rsidR="0020086A" w:rsidRPr="000D18B6" w:rsidRDefault="0020086A" w:rsidP="0020086A">
      <w:pPr>
        <w:pStyle w:val="BHNormal"/>
        <w:numPr>
          <w:ilvl w:val="0"/>
          <w:numId w:val="1"/>
        </w:numPr>
        <w:ind w:left="360"/>
        <w:rPr>
          <w:b/>
        </w:rPr>
      </w:pPr>
      <w:r>
        <w:rPr>
          <w:b/>
        </w:rPr>
        <w:t>Return to</w:t>
      </w:r>
      <w:r w:rsidRPr="000D18B6">
        <w:rPr>
          <w:b/>
        </w:rPr>
        <w:t xml:space="preserve"> </w:t>
      </w:r>
      <w:r>
        <w:rPr>
          <w:b/>
        </w:rPr>
        <w:t xml:space="preserve">the </w:t>
      </w:r>
      <w:r w:rsidRPr="000D18B6">
        <w:rPr>
          <w:b/>
        </w:rPr>
        <w:t>special section of the NOAA IDEA website where the VIIRS case study data are available:</w:t>
      </w:r>
    </w:p>
    <w:p w:rsidR="0020086A" w:rsidRDefault="008D5BC4" w:rsidP="0020086A">
      <w:pPr>
        <w:pStyle w:val="BHNormal"/>
        <w:ind w:left="360"/>
      </w:pPr>
      <w:hyperlink r:id="rId11" w:history="1">
        <w:r w:rsidR="0020086A" w:rsidRPr="009B2D44">
          <w:rPr>
            <w:rStyle w:val="Hyperlink"/>
          </w:rPr>
          <w:t>http://www.star.nesdis.noaa.gov/smcd/spb/aq/viirs_workshop_2013/</w:t>
        </w:r>
      </w:hyperlink>
      <w:r w:rsidR="0020086A">
        <w:t xml:space="preserve">.  </w:t>
      </w:r>
    </w:p>
    <w:p w:rsidR="00743303" w:rsidRDefault="00743303" w:rsidP="0020086A">
      <w:pPr>
        <w:pStyle w:val="BHNormal"/>
      </w:pPr>
    </w:p>
    <w:p w:rsidR="0020086A" w:rsidRDefault="0020086A" w:rsidP="0020086A">
      <w:pPr>
        <w:pStyle w:val="BHNormal"/>
        <w:ind w:left="360"/>
      </w:pPr>
      <w:r>
        <w:t xml:space="preserve">Be sure you are on the </w:t>
      </w:r>
      <w:r w:rsidRPr="000D18B6">
        <w:rPr>
          <w:b/>
        </w:rPr>
        <w:t>VIIRS CONUS</w:t>
      </w:r>
      <w:r>
        <w:t xml:space="preserve"> tab (not VIIRS Global).</w:t>
      </w:r>
    </w:p>
    <w:p w:rsidR="0020086A" w:rsidRDefault="0020086A" w:rsidP="0020086A">
      <w:pPr>
        <w:pStyle w:val="BHNormal"/>
      </w:pPr>
    </w:p>
    <w:p w:rsidR="0020086A" w:rsidRDefault="0020086A" w:rsidP="0020086A">
      <w:pPr>
        <w:pStyle w:val="BHNormal"/>
        <w:ind w:left="360"/>
      </w:pPr>
      <w:r>
        <w:rPr>
          <w:b/>
        </w:rPr>
        <w:t>4</w:t>
      </w:r>
      <w:r w:rsidRPr="00CD6A3F">
        <w:rPr>
          <w:b/>
        </w:rPr>
        <w:t>a.</w:t>
      </w:r>
      <w:r>
        <w:t xml:space="preserve"> Use the </w:t>
      </w:r>
      <w:r>
        <w:rPr>
          <w:b/>
        </w:rPr>
        <w:t>select date/calendar</w:t>
      </w:r>
      <w:r>
        <w:t xml:space="preserve"> feature to select </w:t>
      </w:r>
      <w:r>
        <w:rPr>
          <w:b/>
        </w:rPr>
        <w:t>July 2,</w:t>
      </w:r>
      <w:r w:rsidRPr="00CD6A3F">
        <w:rPr>
          <w:b/>
        </w:rPr>
        <w:t xml:space="preserve"> 2013</w:t>
      </w:r>
      <w:r>
        <w:t xml:space="preserve"> and click the </w:t>
      </w:r>
      <w:r w:rsidRPr="00CD6A3F">
        <w:rPr>
          <w:b/>
        </w:rPr>
        <w:t>Go</w:t>
      </w:r>
      <w:r>
        <w:rPr>
          <w:b/>
        </w:rPr>
        <w:t xml:space="preserve"> </w:t>
      </w:r>
      <w:r>
        <w:t>button.</w:t>
      </w:r>
    </w:p>
    <w:p w:rsidR="0020086A" w:rsidRDefault="0020086A" w:rsidP="0020086A">
      <w:pPr>
        <w:pStyle w:val="BHNormal"/>
      </w:pPr>
    </w:p>
    <w:p w:rsidR="0020086A" w:rsidRPr="00892356" w:rsidRDefault="0020086A" w:rsidP="0020086A">
      <w:pPr>
        <w:pStyle w:val="BHNormal"/>
        <w:ind w:left="360"/>
        <w:rPr>
          <w:b/>
        </w:rPr>
      </w:pPr>
      <w:r>
        <w:rPr>
          <w:b/>
        </w:rPr>
        <w:t>4b</w:t>
      </w:r>
      <w:r w:rsidRPr="00892356">
        <w:rPr>
          <w:b/>
        </w:rPr>
        <w:t xml:space="preserve">. </w:t>
      </w:r>
      <w:r w:rsidRPr="00892356">
        <w:t>U</w:t>
      </w:r>
      <w:r>
        <w:t xml:space="preserve">se the </w:t>
      </w:r>
      <w:r w:rsidRPr="00892356">
        <w:rPr>
          <w:b/>
        </w:rPr>
        <w:t>zoom slider</w:t>
      </w:r>
      <w:r>
        <w:t xml:space="preserve"> or </w:t>
      </w:r>
      <w:r w:rsidRPr="00892356">
        <w:rPr>
          <w:b/>
        </w:rPr>
        <w:t>double click on the imagery</w:t>
      </w:r>
      <w:r>
        <w:t xml:space="preserve"> to zoom into the</w:t>
      </w:r>
      <w:r w:rsidR="0002678C">
        <w:t xml:space="preserve"> fires in</w:t>
      </w:r>
      <w:r>
        <w:t xml:space="preserve"> </w:t>
      </w:r>
      <w:r w:rsidR="0002678C">
        <w:rPr>
          <w:b/>
        </w:rPr>
        <w:t>Quebec</w:t>
      </w:r>
      <w:r>
        <w:t xml:space="preserve">.  </w:t>
      </w:r>
    </w:p>
    <w:p w:rsidR="00743303" w:rsidRDefault="00743303" w:rsidP="00552184">
      <w:pPr>
        <w:pStyle w:val="BHNormal"/>
      </w:pPr>
    </w:p>
    <w:p w:rsidR="00743303" w:rsidRDefault="005B7193" w:rsidP="005B7193">
      <w:pPr>
        <w:pStyle w:val="BHNormal"/>
        <w:ind w:left="360"/>
      </w:pPr>
      <w:r w:rsidRPr="005B7193">
        <w:rPr>
          <w:b/>
        </w:rPr>
        <w:t>4d.</w:t>
      </w:r>
      <w:r>
        <w:t xml:space="preserve"> </w:t>
      </w:r>
      <w:r w:rsidRPr="00904F27">
        <w:rPr>
          <w:b/>
        </w:rPr>
        <w:t>Repeat</w:t>
      </w:r>
      <w:r>
        <w:t xml:space="preserve"> </w:t>
      </w:r>
      <w:r w:rsidRPr="00904F27">
        <w:rPr>
          <w:b/>
        </w:rPr>
        <w:t>steps 2d and 2e</w:t>
      </w:r>
      <w:r>
        <w:t xml:space="preserve"> to analyze the VIIRS AO</w:t>
      </w:r>
      <w:r w:rsidR="00E85634">
        <w:t>T</w:t>
      </w:r>
      <w:r>
        <w:t xml:space="preserve"> and RGB imagery for the Canadian fires.  Note that this case study is a little trickier than the Rim Fire analysis, since clouds associated with a </w:t>
      </w:r>
      <w:r w:rsidR="00716EF6">
        <w:t>frontal boundary</w:t>
      </w:r>
      <w:r>
        <w:t xml:space="preserve"> </w:t>
      </w:r>
      <w:r w:rsidR="00904F27">
        <w:t xml:space="preserve">running from New England to the Gulf Coast are blocking satellite observation of the smoke </w:t>
      </w:r>
      <w:proofErr w:type="spellStart"/>
      <w:r w:rsidR="00904F27">
        <w:t>advecting</w:t>
      </w:r>
      <w:proofErr w:type="spellEnd"/>
      <w:r w:rsidR="00904F27">
        <w:t xml:space="preserve"> south to northern New York State and New England.  </w:t>
      </w:r>
      <w:r w:rsidR="00E26A0E">
        <w:t>But the</w:t>
      </w:r>
      <w:r w:rsidR="00E85634">
        <w:t xml:space="preserve"> smoke plumes from the source</w:t>
      </w:r>
      <w:r w:rsidR="00E26A0E">
        <w:t xml:space="preserve"> fires themselves are clearly visible in the AO</w:t>
      </w:r>
      <w:r w:rsidR="00E85634">
        <w:t>T</w:t>
      </w:r>
      <w:r w:rsidR="00E26A0E">
        <w:t xml:space="preserve"> and RGB imagery.</w:t>
      </w:r>
      <w:r>
        <w:t xml:space="preserve"> </w:t>
      </w:r>
    </w:p>
    <w:p w:rsidR="00EA643A" w:rsidRDefault="00EA643A" w:rsidP="00552184">
      <w:pPr>
        <w:pStyle w:val="BHNormal"/>
      </w:pPr>
    </w:p>
    <w:p w:rsidR="00130F2A" w:rsidRDefault="00506876" w:rsidP="009F583A">
      <w:pPr>
        <w:pStyle w:val="BHNormal"/>
        <w:numPr>
          <w:ilvl w:val="0"/>
          <w:numId w:val="1"/>
        </w:numPr>
        <w:ind w:left="360"/>
      </w:pPr>
      <w:r>
        <w:t xml:space="preserve">Answer questions </w:t>
      </w:r>
      <w:r w:rsidRPr="00E45388">
        <w:t>1-</w:t>
      </w:r>
      <w:r w:rsidR="00411E2F" w:rsidRPr="00E45388">
        <w:t>5</w:t>
      </w:r>
      <w:r>
        <w:t xml:space="preserve"> on the </w:t>
      </w:r>
      <w:r w:rsidRPr="008A0DF3">
        <w:rPr>
          <w:b/>
        </w:rPr>
        <w:t>Case Study Questionnaire</w:t>
      </w:r>
      <w:r>
        <w:t xml:space="preserve"> about the VIIRS </w:t>
      </w:r>
      <w:r w:rsidR="00E94FA8">
        <w:t>AO</w:t>
      </w:r>
      <w:r w:rsidR="00E85634">
        <w:t>T</w:t>
      </w:r>
      <w:r w:rsidR="00E94FA8">
        <w:t xml:space="preserve"> and RGB</w:t>
      </w:r>
      <w:r>
        <w:t xml:space="preserve"> products</w:t>
      </w:r>
      <w:r w:rsidR="00493970">
        <w:t>, visualization options, and data delivery</w:t>
      </w:r>
      <w:r>
        <w:t>.</w:t>
      </w:r>
    </w:p>
    <w:sectPr w:rsidR="00130F2A" w:rsidSect="004E0CC1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C4" w:rsidRDefault="008D5BC4" w:rsidP="00362F62">
      <w:pPr>
        <w:spacing w:after="0" w:line="240" w:lineRule="auto"/>
      </w:pPr>
      <w:r>
        <w:separator/>
      </w:r>
    </w:p>
  </w:endnote>
  <w:endnote w:type="continuationSeparator" w:id="0">
    <w:p w:rsidR="008D5BC4" w:rsidRDefault="008D5BC4" w:rsidP="0036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21547"/>
      <w:docPartObj>
        <w:docPartGallery w:val="Page Numbers (Bottom of Page)"/>
        <w:docPartUnique/>
      </w:docPartObj>
    </w:sdtPr>
    <w:sdtEndPr/>
    <w:sdtContent>
      <w:p w:rsidR="000A1337" w:rsidRDefault="004E0CC1">
        <w:pPr>
          <w:pStyle w:val="Footer"/>
        </w:pPr>
        <w:r>
          <w:t>VIIRS Aerosol</w:t>
        </w:r>
        <w:r w:rsidR="000A1337">
          <w:t xml:space="preserve"> Workshop</w:t>
        </w:r>
        <w:r w:rsidR="000A1337">
          <w:tab/>
        </w:r>
        <w:r>
          <w:t>November 21-22</w:t>
        </w:r>
        <w:r w:rsidR="000A1337">
          <w:t>, 2013</w:t>
        </w:r>
        <w:r w:rsidR="000A1337">
          <w:tab/>
          <w:t xml:space="preserve">Page </w:t>
        </w:r>
        <w:r w:rsidR="00581500">
          <w:fldChar w:fldCharType="begin"/>
        </w:r>
        <w:r w:rsidR="00581500">
          <w:instrText xml:space="preserve"> PAGE   \* MERGEFORMAT </w:instrText>
        </w:r>
        <w:r w:rsidR="00581500">
          <w:fldChar w:fldCharType="separate"/>
        </w:r>
        <w:r w:rsidR="00BD176D">
          <w:rPr>
            <w:noProof/>
          </w:rPr>
          <w:t>4</w:t>
        </w:r>
        <w:r w:rsidR="00581500">
          <w:rPr>
            <w:noProof/>
          </w:rPr>
          <w:fldChar w:fldCharType="end"/>
        </w:r>
      </w:p>
    </w:sdtContent>
  </w:sdt>
  <w:p w:rsidR="000A1337" w:rsidRDefault="000A1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C4" w:rsidRDefault="008D5BC4" w:rsidP="00362F62">
      <w:pPr>
        <w:spacing w:after="0" w:line="240" w:lineRule="auto"/>
      </w:pPr>
      <w:r>
        <w:separator/>
      </w:r>
    </w:p>
  </w:footnote>
  <w:footnote w:type="continuationSeparator" w:id="0">
    <w:p w:rsidR="008D5BC4" w:rsidRDefault="008D5BC4" w:rsidP="00362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501"/>
    <w:multiLevelType w:val="hybridMultilevel"/>
    <w:tmpl w:val="8B0CD0DA"/>
    <w:lvl w:ilvl="0" w:tplc="65807042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02E0"/>
    <w:multiLevelType w:val="hybridMultilevel"/>
    <w:tmpl w:val="EDBE19A2"/>
    <w:lvl w:ilvl="0" w:tplc="7F8CB1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41BF3"/>
    <w:multiLevelType w:val="hybridMultilevel"/>
    <w:tmpl w:val="D20C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12D0E"/>
    <w:multiLevelType w:val="hybridMultilevel"/>
    <w:tmpl w:val="536E2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BA0A00"/>
    <w:multiLevelType w:val="hybridMultilevel"/>
    <w:tmpl w:val="C4EE8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032A4F"/>
    <w:multiLevelType w:val="hybridMultilevel"/>
    <w:tmpl w:val="86F25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C00142"/>
    <w:multiLevelType w:val="hybridMultilevel"/>
    <w:tmpl w:val="BCF80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81FAB"/>
    <w:multiLevelType w:val="hybridMultilevel"/>
    <w:tmpl w:val="5AD87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4D7E70"/>
    <w:multiLevelType w:val="hybridMultilevel"/>
    <w:tmpl w:val="054468F0"/>
    <w:lvl w:ilvl="0" w:tplc="13749B50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B5538"/>
    <w:multiLevelType w:val="hybridMultilevel"/>
    <w:tmpl w:val="4A04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3749B50">
      <w:start w:val="1"/>
      <w:numFmt w:val="bullet"/>
      <w:lvlText w:val="–"/>
      <w:lvlJc w:val="left"/>
      <w:pPr>
        <w:ind w:left="2160" w:hanging="360"/>
      </w:pPr>
      <w:rPr>
        <w:rFonts w:ascii="Times" w:hAnsi="Time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46027"/>
    <w:multiLevelType w:val="hybridMultilevel"/>
    <w:tmpl w:val="EC506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7815AF"/>
    <w:multiLevelType w:val="hybridMultilevel"/>
    <w:tmpl w:val="0C32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80EE3"/>
    <w:multiLevelType w:val="hybridMultilevel"/>
    <w:tmpl w:val="8E6E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749B50">
      <w:start w:val="1"/>
      <w:numFmt w:val="bullet"/>
      <w:lvlText w:val="–"/>
      <w:lvlJc w:val="left"/>
      <w:pPr>
        <w:ind w:left="2160" w:hanging="360"/>
      </w:pPr>
      <w:rPr>
        <w:rFonts w:ascii="Times" w:hAnsi="Time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F70D7"/>
    <w:multiLevelType w:val="hybridMultilevel"/>
    <w:tmpl w:val="4E5A2B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400B3713"/>
    <w:multiLevelType w:val="hybridMultilevel"/>
    <w:tmpl w:val="1D64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3749B50">
      <w:start w:val="1"/>
      <w:numFmt w:val="bullet"/>
      <w:lvlText w:val="–"/>
      <w:lvlJc w:val="left"/>
      <w:pPr>
        <w:ind w:left="2160" w:hanging="360"/>
      </w:pPr>
      <w:rPr>
        <w:rFonts w:ascii="Times" w:hAnsi="Times" w:hint="default"/>
      </w:rPr>
    </w:lvl>
    <w:lvl w:ilvl="3" w:tplc="13749B50">
      <w:start w:val="1"/>
      <w:numFmt w:val="bullet"/>
      <w:lvlText w:val="–"/>
      <w:lvlJc w:val="left"/>
      <w:pPr>
        <w:ind w:left="2880" w:hanging="360"/>
      </w:pPr>
      <w:rPr>
        <w:rFonts w:ascii="Times" w:hAnsi="Time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251DC"/>
    <w:multiLevelType w:val="hybridMultilevel"/>
    <w:tmpl w:val="D2E2A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3749B50">
      <w:start w:val="1"/>
      <w:numFmt w:val="bullet"/>
      <w:lvlText w:val="–"/>
      <w:lvlJc w:val="left"/>
      <w:pPr>
        <w:ind w:left="1800" w:hanging="360"/>
      </w:pPr>
      <w:rPr>
        <w:rFonts w:ascii="Times" w:hAnsi="Time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262C82"/>
    <w:multiLevelType w:val="hybridMultilevel"/>
    <w:tmpl w:val="7AD8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49B50">
      <w:start w:val="1"/>
      <w:numFmt w:val="bullet"/>
      <w:lvlText w:val="–"/>
      <w:lvlJc w:val="left"/>
      <w:pPr>
        <w:ind w:left="1440" w:hanging="360"/>
      </w:pPr>
      <w:rPr>
        <w:rFonts w:ascii="Times" w:hAnsi="Time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67984"/>
    <w:multiLevelType w:val="hybridMultilevel"/>
    <w:tmpl w:val="A7BC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00277"/>
    <w:multiLevelType w:val="hybridMultilevel"/>
    <w:tmpl w:val="849E2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C2B60C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BA6B1C"/>
    <w:multiLevelType w:val="hybridMultilevel"/>
    <w:tmpl w:val="D402C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1367B0"/>
    <w:multiLevelType w:val="hybridMultilevel"/>
    <w:tmpl w:val="57A6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3749B50">
      <w:start w:val="1"/>
      <w:numFmt w:val="bullet"/>
      <w:lvlText w:val="–"/>
      <w:lvlJc w:val="left"/>
      <w:pPr>
        <w:ind w:left="2160" w:hanging="360"/>
      </w:pPr>
      <w:rPr>
        <w:rFonts w:ascii="Times" w:hAnsi="Time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113F5"/>
    <w:multiLevelType w:val="hybridMultilevel"/>
    <w:tmpl w:val="CA6631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EC10245"/>
    <w:multiLevelType w:val="hybridMultilevel"/>
    <w:tmpl w:val="5EFC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49B50">
      <w:start w:val="1"/>
      <w:numFmt w:val="bullet"/>
      <w:lvlText w:val="–"/>
      <w:lvlJc w:val="left"/>
      <w:pPr>
        <w:ind w:left="1440" w:hanging="360"/>
      </w:pPr>
      <w:rPr>
        <w:rFonts w:ascii="Times" w:hAnsi="Times" w:hint="default"/>
      </w:rPr>
    </w:lvl>
    <w:lvl w:ilvl="2" w:tplc="13749B50">
      <w:start w:val="1"/>
      <w:numFmt w:val="bullet"/>
      <w:lvlText w:val="–"/>
      <w:lvlJc w:val="left"/>
      <w:pPr>
        <w:ind w:left="2160" w:hanging="360"/>
      </w:pPr>
      <w:rPr>
        <w:rFonts w:ascii="Times" w:hAnsi="Time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5"/>
  </w:num>
  <w:num w:numId="5">
    <w:abstractNumId w:val="8"/>
  </w:num>
  <w:num w:numId="6">
    <w:abstractNumId w:val="20"/>
  </w:num>
  <w:num w:numId="7">
    <w:abstractNumId w:val="22"/>
  </w:num>
  <w:num w:numId="8">
    <w:abstractNumId w:val="12"/>
  </w:num>
  <w:num w:numId="9">
    <w:abstractNumId w:val="9"/>
  </w:num>
  <w:num w:numId="10">
    <w:abstractNumId w:val="14"/>
  </w:num>
  <w:num w:numId="11">
    <w:abstractNumId w:val="11"/>
  </w:num>
  <w:num w:numId="12">
    <w:abstractNumId w:val="6"/>
  </w:num>
  <w:num w:numId="13">
    <w:abstractNumId w:val="13"/>
  </w:num>
  <w:num w:numId="14">
    <w:abstractNumId w:val="17"/>
  </w:num>
  <w:num w:numId="15">
    <w:abstractNumId w:val="21"/>
  </w:num>
  <w:num w:numId="16">
    <w:abstractNumId w:val="5"/>
  </w:num>
  <w:num w:numId="17">
    <w:abstractNumId w:val="3"/>
  </w:num>
  <w:num w:numId="18">
    <w:abstractNumId w:val="19"/>
  </w:num>
  <w:num w:numId="19">
    <w:abstractNumId w:val="10"/>
  </w:num>
  <w:num w:numId="20">
    <w:abstractNumId w:val="7"/>
  </w:num>
  <w:num w:numId="21">
    <w:abstractNumId w:val="1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6B"/>
    <w:rsid w:val="00010639"/>
    <w:rsid w:val="00014958"/>
    <w:rsid w:val="00016195"/>
    <w:rsid w:val="000165A1"/>
    <w:rsid w:val="000261D6"/>
    <w:rsid w:val="0002678C"/>
    <w:rsid w:val="00032466"/>
    <w:rsid w:val="000455B2"/>
    <w:rsid w:val="00054BAF"/>
    <w:rsid w:val="0006107F"/>
    <w:rsid w:val="00062BF3"/>
    <w:rsid w:val="00065D06"/>
    <w:rsid w:val="00082596"/>
    <w:rsid w:val="00090BF9"/>
    <w:rsid w:val="00094972"/>
    <w:rsid w:val="00097E44"/>
    <w:rsid w:val="000A1337"/>
    <w:rsid w:val="000A32FB"/>
    <w:rsid w:val="000A7D8F"/>
    <w:rsid w:val="000B14FA"/>
    <w:rsid w:val="000B32D5"/>
    <w:rsid w:val="000B679F"/>
    <w:rsid w:val="000C0B71"/>
    <w:rsid w:val="000C436F"/>
    <w:rsid w:val="000C53D9"/>
    <w:rsid w:val="000D18B6"/>
    <w:rsid w:val="000D35BB"/>
    <w:rsid w:val="000E7202"/>
    <w:rsid w:val="000F4B9C"/>
    <w:rsid w:val="000F5060"/>
    <w:rsid w:val="001179A4"/>
    <w:rsid w:val="00130F2A"/>
    <w:rsid w:val="001311DE"/>
    <w:rsid w:val="00133AB8"/>
    <w:rsid w:val="00137C49"/>
    <w:rsid w:val="001432C8"/>
    <w:rsid w:val="001503D0"/>
    <w:rsid w:val="00171B9A"/>
    <w:rsid w:val="00186AAF"/>
    <w:rsid w:val="001878D3"/>
    <w:rsid w:val="00197809"/>
    <w:rsid w:val="001B31B6"/>
    <w:rsid w:val="001B4EE4"/>
    <w:rsid w:val="001B7733"/>
    <w:rsid w:val="001C4220"/>
    <w:rsid w:val="001D4369"/>
    <w:rsid w:val="001D548A"/>
    <w:rsid w:val="001E5476"/>
    <w:rsid w:val="001E6690"/>
    <w:rsid w:val="001E7EC6"/>
    <w:rsid w:val="001F0500"/>
    <w:rsid w:val="0020086A"/>
    <w:rsid w:val="00200E15"/>
    <w:rsid w:val="002033B8"/>
    <w:rsid w:val="00204F7A"/>
    <w:rsid w:val="00205E84"/>
    <w:rsid w:val="0021027C"/>
    <w:rsid w:val="00210F33"/>
    <w:rsid w:val="00213549"/>
    <w:rsid w:val="0021455E"/>
    <w:rsid w:val="0023516C"/>
    <w:rsid w:val="002621A6"/>
    <w:rsid w:val="002642E8"/>
    <w:rsid w:val="00272F4F"/>
    <w:rsid w:val="00273146"/>
    <w:rsid w:val="00273A1F"/>
    <w:rsid w:val="00274CAB"/>
    <w:rsid w:val="002803A2"/>
    <w:rsid w:val="00283066"/>
    <w:rsid w:val="00290AC0"/>
    <w:rsid w:val="00293BF3"/>
    <w:rsid w:val="00297A6E"/>
    <w:rsid w:val="002A3F03"/>
    <w:rsid w:val="002B3256"/>
    <w:rsid w:val="002C0A65"/>
    <w:rsid w:val="002D79EA"/>
    <w:rsid w:val="0030209B"/>
    <w:rsid w:val="00316F65"/>
    <w:rsid w:val="00321264"/>
    <w:rsid w:val="00337FAF"/>
    <w:rsid w:val="003405FD"/>
    <w:rsid w:val="003408CC"/>
    <w:rsid w:val="00350DCC"/>
    <w:rsid w:val="0035742B"/>
    <w:rsid w:val="00362F62"/>
    <w:rsid w:val="003661FF"/>
    <w:rsid w:val="00384F10"/>
    <w:rsid w:val="00385793"/>
    <w:rsid w:val="00386D2B"/>
    <w:rsid w:val="00390E61"/>
    <w:rsid w:val="00395392"/>
    <w:rsid w:val="003A4746"/>
    <w:rsid w:val="003B4763"/>
    <w:rsid w:val="003C2C7A"/>
    <w:rsid w:val="003C3246"/>
    <w:rsid w:val="003C44A3"/>
    <w:rsid w:val="003C44CE"/>
    <w:rsid w:val="003C694D"/>
    <w:rsid w:val="003E05E8"/>
    <w:rsid w:val="003E56F9"/>
    <w:rsid w:val="003E6224"/>
    <w:rsid w:val="003E7A94"/>
    <w:rsid w:val="003F1E03"/>
    <w:rsid w:val="003F5C87"/>
    <w:rsid w:val="00400EB0"/>
    <w:rsid w:val="004067F4"/>
    <w:rsid w:val="00411E2F"/>
    <w:rsid w:val="00415B80"/>
    <w:rsid w:val="004166A1"/>
    <w:rsid w:val="00416827"/>
    <w:rsid w:val="0042109B"/>
    <w:rsid w:val="0043716F"/>
    <w:rsid w:val="004448F5"/>
    <w:rsid w:val="00447795"/>
    <w:rsid w:val="00454E8C"/>
    <w:rsid w:val="0045760F"/>
    <w:rsid w:val="0047391F"/>
    <w:rsid w:val="0047485D"/>
    <w:rsid w:val="004809FE"/>
    <w:rsid w:val="00486938"/>
    <w:rsid w:val="00487388"/>
    <w:rsid w:val="00487EF4"/>
    <w:rsid w:val="004911EE"/>
    <w:rsid w:val="004924F7"/>
    <w:rsid w:val="00493970"/>
    <w:rsid w:val="00494BD7"/>
    <w:rsid w:val="00497632"/>
    <w:rsid w:val="00497A1B"/>
    <w:rsid w:val="004C0450"/>
    <w:rsid w:val="004C3F7B"/>
    <w:rsid w:val="004C75E9"/>
    <w:rsid w:val="004D28BA"/>
    <w:rsid w:val="004E08D2"/>
    <w:rsid w:val="004E0CC1"/>
    <w:rsid w:val="00506876"/>
    <w:rsid w:val="00510638"/>
    <w:rsid w:val="00517152"/>
    <w:rsid w:val="00524E01"/>
    <w:rsid w:val="00525D79"/>
    <w:rsid w:val="00552184"/>
    <w:rsid w:val="00581500"/>
    <w:rsid w:val="00583CD4"/>
    <w:rsid w:val="00591093"/>
    <w:rsid w:val="0059313F"/>
    <w:rsid w:val="005B62FE"/>
    <w:rsid w:val="005B7193"/>
    <w:rsid w:val="005C1F2D"/>
    <w:rsid w:val="005C2A4A"/>
    <w:rsid w:val="005E2704"/>
    <w:rsid w:val="005F0E49"/>
    <w:rsid w:val="00601A10"/>
    <w:rsid w:val="00602776"/>
    <w:rsid w:val="006033B2"/>
    <w:rsid w:val="006070D5"/>
    <w:rsid w:val="0061151F"/>
    <w:rsid w:val="00630BF0"/>
    <w:rsid w:val="00631757"/>
    <w:rsid w:val="006351EF"/>
    <w:rsid w:val="00636240"/>
    <w:rsid w:val="00642224"/>
    <w:rsid w:val="006424B7"/>
    <w:rsid w:val="00643C11"/>
    <w:rsid w:val="00644529"/>
    <w:rsid w:val="00651E19"/>
    <w:rsid w:val="00652F5E"/>
    <w:rsid w:val="00653924"/>
    <w:rsid w:val="00657754"/>
    <w:rsid w:val="006723AA"/>
    <w:rsid w:val="006821A2"/>
    <w:rsid w:val="006827C1"/>
    <w:rsid w:val="00691070"/>
    <w:rsid w:val="00692AFA"/>
    <w:rsid w:val="00693007"/>
    <w:rsid w:val="006A75DE"/>
    <w:rsid w:val="006B6122"/>
    <w:rsid w:val="006C16EA"/>
    <w:rsid w:val="006C5BCD"/>
    <w:rsid w:val="006D34E2"/>
    <w:rsid w:val="006E1965"/>
    <w:rsid w:val="006E338B"/>
    <w:rsid w:val="006E5456"/>
    <w:rsid w:val="006E6548"/>
    <w:rsid w:val="006F2A51"/>
    <w:rsid w:val="006F42ED"/>
    <w:rsid w:val="00701E75"/>
    <w:rsid w:val="00702DE5"/>
    <w:rsid w:val="007037CF"/>
    <w:rsid w:val="00714A1B"/>
    <w:rsid w:val="00716EF6"/>
    <w:rsid w:val="00717F21"/>
    <w:rsid w:val="00727EB1"/>
    <w:rsid w:val="00743303"/>
    <w:rsid w:val="00744708"/>
    <w:rsid w:val="00746C07"/>
    <w:rsid w:val="00750432"/>
    <w:rsid w:val="007522DA"/>
    <w:rsid w:val="0075759F"/>
    <w:rsid w:val="00777E11"/>
    <w:rsid w:val="00780773"/>
    <w:rsid w:val="007909C5"/>
    <w:rsid w:val="00792B1A"/>
    <w:rsid w:val="00795AB8"/>
    <w:rsid w:val="007A160D"/>
    <w:rsid w:val="007A3976"/>
    <w:rsid w:val="007A5095"/>
    <w:rsid w:val="007A6D43"/>
    <w:rsid w:val="007D37FD"/>
    <w:rsid w:val="007E19BF"/>
    <w:rsid w:val="007E20AA"/>
    <w:rsid w:val="007F0A36"/>
    <w:rsid w:val="00804327"/>
    <w:rsid w:val="00812296"/>
    <w:rsid w:val="00812467"/>
    <w:rsid w:val="00820A60"/>
    <w:rsid w:val="00824CEC"/>
    <w:rsid w:val="00847CF5"/>
    <w:rsid w:val="00861C93"/>
    <w:rsid w:val="008643F7"/>
    <w:rsid w:val="00892356"/>
    <w:rsid w:val="008A0DF3"/>
    <w:rsid w:val="008A6E00"/>
    <w:rsid w:val="008B71C4"/>
    <w:rsid w:val="008C12D6"/>
    <w:rsid w:val="008C726B"/>
    <w:rsid w:val="008D41D5"/>
    <w:rsid w:val="008D4A83"/>
    <w:rsid w:val="008D5BC4"/>
    <w:rsid w:val="008F1720"/>
    <w:rsid w:val="008F6828"/>
    <w:rsid w:val="0090432A"/>
    <w:rsid w:val="00904F27"/>
    <w:rsid w:val="009112DA"/>
    <w:rsid w:val="00916284"/>
    <w:rsid w:val="009342F3"/>
    <w:rsid w:val="009404D8"/>
    <w:rsid w:val="0094172B"/>
    <w:rsid w:val="00943657"/>
    <w:rsid w:val="00946526"/>
    <w:rsid w:val="00946C44"/>
    <w:rsid w:val="0095295A"/>
    <w:rsid w:val="009542C7"/>
    <w:rsid w:val="00954ECF"/>
    <w:rsid w:val="00963A51"/>
    <w:rsid w:val="00990136"/>
    <w:rsid w:val="00992ED9"/>
    <w:rsid w:val="00997CFA"/>
    <w:rsid w:val="009A30FC"/>
    <w:rsid w:val="009A4699"/>
    <w:rsid w:val="009B2D44"/>
    <w:rsid w:val="009E5CBE"/>
    <w:rsid w:val="009F583A"/>
    <w:rsid w:val="00A043FF"/>
    <w:rsid w:val="00A04D41"/>
    <w:rsid w:val="00A2204F"/>
    <w:rsid w:val="00A2390C"/>
    <w:rsid w:val="00A35953"/>
    <w:rsid w:val="00A41B16"/>
    <w:rsid w:val="00A52F8C"/>
    <w:rsid w:val="00A56FD3"/>
    <w:rsid w:val="00A5738D"/>
    <w:rsid w:val="00A757F8"/>
    <w:rsid w:val="00A83821"/>
    <w:rsid w:val="00A83BFE"/>
    <w:rsid w:val="00A87ED3"/>
    <w:rsid w:val="00AC6B8E"/>
    <w:rsid w:val="00AE5EE6"/>
    <w:rsid w:val="00AE7043"/>
    <w:rsid w:val="00B25A79"/>
    <w:rsid w:val="00B3411B"/>
    <w:rsid w:val="00B359EB"/>
    <w:rsid w:val="00B37B8A"/>
    <w:rsid w:val="00B53633"/>
    <w:rsid w:val="00B57573"/>
    <w:rsid w:val="00B76578"/>
    <w:rsid w:val="00BA0DDA"/>
    <w:rsid w:val="00BA26E0"/>
    <w:rsid w:val="00BB77B8"/>
    <w:rsid w:val="00BC7777"/>
    <w:rsid w:val="00BD0E22"/>
    <w:rsid w:val="00BD176D"/>
    <w:rsid w:val="00BD18C5"/>
    <w:rsid w:val="00BD6022"/>
    <w:rsid w:val="00BE41B6"/>
    <w:rsid w:val="00BE435A"/>
    <w:rsid w:val="00BE532F"/>
    <w:rsid w:val="00BF7169"/>
    <w:rsid w:val="00BF7C67"/>
    <w:rsid w:val="00C04265"/>
    <w:rsid w:val="00C101B8"/>
    <w:rsid w:val="00C20CC2"/>
    <w:rsid w:val="00C24B7D"/>
    <w:rsid w:val="00C35868"/>
    <w:rsid w:val="00C46C4E"/>
    <w:rsid w:val="00C505DC"/>
    <w:rsid w:val="00C50B84"/>
    <w:rsid w:val="00C55BD2"/>
    <w:rsid w:val="00C67E16"/>
    <w:rsid w:val="00C85882"/>
    <w:rsid w:val="00C85EAB"/>
    <w:rsid w:val="00C95D52"/>
    <w:rsid w:val="00CB2A9A"/>
    <w:rsid w:val="00CB2FC3"/>
    <w:rsid w:val="00CC2B35"/>
    <w:rsid w:val="00CD6A3F"/>
    <w:rsid w:val="00CE0D2F"/>
    <w:rsid w:val="00CE1854"/>
    <w:rsid w:val="00CE3ECF"/>
    <w:rsid w:val="00CF3C84"/>
    <w:rsid w:val="00D105CC"/>
    <w:rsid w:val="00D13C19"/>
    <w:rsid w:val="00D22484"/>
    <w:rsid w:val="00D22767"/>
    <w:rsid w:val="00D242CF"/>
    <w:rsid w:val="00D36A01"/>
    <w:rsid w:val="00D4120C"/>
    <w:rsid w:val="00D427D1"/>
    <w:rsid w:val="00D50315"/>
    <w:rsid w:val="00D50BF1"/>
    <w:rsid w:val="00D5127E"/>
    <w:rsid w:val="00D52D44"/>
    <w:rsid w:val="00D66CBF"/>
    <w:rsid w:val="00D82086"/>
    <w:rsid w:val="00DB0DE7"/>
    <w:rsid w:val="00DB460C"/>
    <w:rsid w:val="00DE4DAB"/>
    <w:rsid w:val="00DF37D1"/>
    <w:rsid w:val="00E00D6E"/>
    <w:rsid w:val="00E119F8"/>
    <w:rsid w:val="00E11ED9"/>
    <w:rsid w:val="00E12879"/>
    <w:rsid w:val="00E13573"/>
    <w:rsid w:val="00E13A90"/>
    <w:rsid w:val="00E1717E"/>
    <w:rsid w:val="00E26A0E"/>
    <w:rsid w:val="00E3679C"/>
    <w:rsid w:val="00E36E85"/>
    <w:rsid w:val="00E45388"/>
    <w:rsid w:val="00E457F9"/>
    <w:rsid w:val="00E50804"/>
    <w:rsid w:val="00E55085"/>
    <w:rsid w:val="00E57022"/>
    <w:rsid w:val="00E6268E"/>
    <w:rsid w:val="00E64B85"/>
    <w:rsid w:val="00E65562"/>
    <w:rsid w:val="00E70447"/>
    <w:rsid w:val="00E76C75"/>
    <w:rsid w:val="00E8446A"/>
    <w:rsid w:val="00E85634"/>
    <w:rsid w:val="00E910BD"/>
    <w:rsid w:val="00E94FA8"/>
    <w:rsid w:val="00EA643A"/>
    <w:rsid w:val="00EB58BA"/>
    <w:rsid w:val="00EB6FFC"/>
    <w:rsid w:val="00EC023F"/>
    <w:rsid w:val="00EC1284"/>
    <w:rsid w:val="00ED18E1"/>
    <w:rsid w:val="00ED3A6F"/>
    <w:rsid w:val="00EE1BE8"/>
    <w:rsid w:val="00EE536F"/>
    <w:rsid w:val="00EF4F11"/>
    <w:rsid w:val="00EF7575"/>
    <w:rsid w:val="00F1063A"/>
    <w:rsid w:val="00F1314F"/>
    <w:rsid w:val="00F22417"/>
    <w:rsid w:val="00F26CD8"/>
    <w:rsid w:val="00F3576B"/>
    <w:rsid w:val="00F37C4E"/>
    <w:rsid w:val="00F4206B"/>
    <w:rsid w:val="00F427E0"/>
    <w:rsid w:val="00F4574D"/>
    <w:rsid w:val="00F471DC"/>
    <w:rsid w:val="00F5531A"/>
    <w:rsid w:val="00F56CB6"/>
    <w:rsid w:val="00F61BB7"/>
    <w:rsid w:val="00F6419D"/>
    <w:rsid w:val="00F656E6"/>
    <w:rsid w:val="00F746B3"/>
    <w:rsid w:val="00F756D7"/>
    <w:rsid w:val="00F82D35"/>
    <w:rsid w:val="00F83ADA"/>
    <w:rsid w:val="00F85D9C"/>
    <w:rsid w:val="00FB0A27"/>
    <w:rsid w:val="00FC098B"/>
    <w:rsid w:val="00FE373E"/>
    <w:rsid w:val="00FE7FD4"/>
    <w:rsid w:val="00FF60DD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rFonts w:ascii="Times New Roman" w:hAnsi="Times New Roman" w:cs="Times New Roman"/>
      <w:b/>
      <w:i/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62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F62"/>
  </w:style>
  <w:style w:type="paragraph" w:styleId="Footer">
    <w:name w:val="footer"/>
    <w:basedOn w:val="Normal"/>
    <w:link w:val="FooterChar"/>
    <w:uiPriority w:val="99"/>
    <w:unhideWhenUsed/>
    <w:rsid w:val="00362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F62"/>
  </w:style>
  <w:style w:type="paragraph" w:styleId="ListParagraph">
    <w:name w:val="List Paragraph"/>
    <w:basedOn w:val="Normal"/>
    <w:uiPriority w:val="34"/>
    <w:qFormat/>
    <w:rsid w:val="006C1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A65"/>
    <w:rPr>
      <w:color w:val="043D6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Level1">
    <w:name w:val="BHLevel1"/>
    <w:basedOn w:val="BHNormal"/>
    <w:next w:val="BHNormal"/>
    <w:link w:val="BHLevel1Char"/>
    <w:qFormat/>
    <w:rsid w:val="00497A1B"/>
    <w:pPr>
      <w:spacing w:before="480" w:after="240"/>
      <w:jc w:val="center"/>
      <w:outlineLvl w:val="0"/>
    </w:pPr>
    <w:rPr>
      <w:b/>
      <w:caps/>
      <w:color w:val="000000" w:themeColor="text1"/>
      <w:sz w:val="40"/>
      <w:szCs w:val="40"/>
    </w:rPr>
  </w:style>
  <w:style w:type="paragraph" w:styleId="NoSpacing">
    <w:name w:val="No Spacing"/>
    <w:link w:val="NoSpacingChar"/>
    <w:uiPriority w:val="1"/>
    <w:qFormat/>
    <w:rsid w:val="004E08D2"/>
    <w:pPr>
      <w:spacing w:after="0" w:line="240" w:lineRule="auto"/>
    </w:pPr>
  </w:style>
  <w:style w:type="character" w:customStyle="1" w:styleId="BHLevel1Char">
    <w:name w:val="BHLevel1 Char"/>
    <w:basedOn w:val="DefaultParagraphFont"/>
    <w:link w:val="BHLevel1"/>
    <w:rsid w:val="00497A1B"/>
    <w:rPr>
      <w:rFonts w:ascii="Times New Roman" w:hAnsi="Times New Roman" w:cs="Times New Roman"/>
      <w:b/>
      <w:caps/>
      <w:color w:val="000000" w:themeColor="text1"/>
      <w:sz w:val="40"/>
      <w:szCs w:val="40"/>
    </w:rPr>
  </w:style>
  <w:style w:type="paragraph" w:customStyle="1" w:styleId="BHLevel2">
    <w:name w:val="BHLevel2"/>
    <w:basedOn w:val="BHNormal"/>
    <w:next w:val="BHNormal"/>
    <w:link w:val="BHLevel2Char"/>
    <w:qFormat/>
    <w:rsid w:val="00497A1B"/>
    <w:pPr>
      <w:spacing w:before="480" w:after="240"/>
      <w:jc w:val="center"/>
      <w:outlineLvl w:val="1"/>
    </w:pPr>
    <w:rPr>
      <w:b/>
      <w:smallCaps/>
      <w:color w:val="043254" w:themeColor="text2"/>
      <w:sz w:val="36"/>
      <w:szCs w:val="36"/>
    </w:rPr>
  </w:style>
  <w:style w:type="paragraph" w:customStyle="1" w:styleId="BHLevel3">
    <w:name w:val="BHLevel3"/>
    <w:basedOn w:val="BHNormal"/>
    <w:next w:val="BHNormal"/>
    <w:link w:val="BHLevel3Char"/>
    <w:qFormat/>
    <w:rsid w:val="00497A1B"/>
    <w:pPr>
      <w:spacing w:before="480" w:after="240"/>
      <w:jc w:val="center"/>
      <w:outlineLvl w:val="2"/>
    </w:pPr>
    <w:rPr>
      <w:b/>
      <w:color w:val="054471" w:themeColor="accent1"/>
      <w:sz w:val="30"/>
      <w:szCs w:val="30"/>
    </w:rPr>
  </w:style>
  <w:style w:type="character" w:customStyle="1" w:styleId="NoSpacingChar">
    <w:name w:val="No Spacing Char"/>
    <w:basedOn w:val="DefaultParagraphFont"/>
    <w:link w:val="NoSpacing"/>
    <w:uiPriority w:val="1"/>
    <w:rsid w:val="004E08D2"/>
  </w:style>
  <w:style w:type="character" w:customStyle="1" w:styleId="BHLevel2Char">
    <w:name w:val="BHLevel2 Char"/>
    <w:basedOn w:val="NoSpacingChar"/>
    <w:link w:val="BHLevel2"/>
    <w:rsid w:val="00497A1B"/>
    <w:rPr>
      <w:rFonts w:ascii="Times New Roman" w:hAnsi="Times New Roman" w:cs="Times New Roman"/>
      <w:b/>
      <w:smallCaps/>
      <w:color w:val="043254" w:themeColor="text2"/>
      <w:sz w:val="36"/>
      <w:szCs w:val="36"/>
    </w:rPr>
  </w:style>
  <w:style w:type="paragraph" w:customStyle="1" w:styleId="BHLevel4">
    <w:name w:val="BHLevel4"/>
    <w:basedOn w:val="BHNormal"/>
    <w:next w:val="BHNormal"/>
    <w:link w:val="BHLevel4Char"/>
    <w:qFormat/>
    <w:rsid w:val="00497A1B"/>
    <w:pPr>
      <w:spacing w:before="480" w:after="240"/>
      <w:outlineLvl w:val="3"/>
    </w:pPr>
    <w:rPr>
      <w:b/>
      <w:color w:val="7E2A54" w:themeColor="accent2"/>
      <w:sz w:val="28"/>
      <w:szCs w:val="28"/>
    </w:rPr>
  </w:style>
  <w:style w:type="character" w:customStyle="1" w:styleId="BHLevel3Char">
    <w:name w:val="BHLevel3 Char"/>
    <w:basedOn w:val="DefaultParagraphFont"/>
    <w:link w:val="BHLevel3"/>
    <w:rsid w:val="00497A1B"/>
    <w:rPr>
      <w:rFonts w:ascii="Times New Roman" w:hAnsi="Times New Roman" w:cs="Times New Roman"/>
      <w:b/>
      <w:color w:val="054471" w:themeColor="accent1"/>
      <w:sz w:val="30"/>
      <w:szCs w:val="30"/>
    </w:rPr>
  </w:style>
  <w:style w:type="paragraph" w:customStyle="1" w:styleId="BHLevel5">
    <w:name w:val="BHLevel5"/>
    <w:basedOn w:val="BHNormal"/>
    <w:next w:val="BHNormal"/>
    <w:link w:val="BHLevel5Char"/>
    <w:qFormat/>
    <w:rsid w:val="00497A1B"/>
    <w:pPr>
      <w:spacing w:before="480" w:after="240"/>
      <w:outlineLvl w:val="4"/>
    </w:pPr>
    <w:rPr>
      <w:b/>
      <w:i/>
      <w:color w:val="000000" w:themeColor="text1"/>
      <w:sz w:val="26"/>
      <w:szCs w:val="26"/>
    </w:rPr>
  </w:style>
  <w:style w:type="character" w:customStyle="1" w:styleId="BHLevel4Char">
    <w:name w:val="BHLevel4 Char"/>
    <w:basedOn w:val="DefaultParagraphFont"/>
    <w:link w:val="BHLevel4"/>
    <w:rsid w:val="00497A1B"/>
    <w:rPr>
      <w:rFonts w:ascii="Times New Roman" w:hAnsi="Times New Roman" w:cs="Times New Roman"/>
      <w:b/>
      <w:color w:val="7E2A54" w:themeColor="accent2"/>
      <w:sz w:val="28"/>
      <w:szCs w:val="28"/>
    </w:rPr>
  </w:style>
  <w:style w:type="paragraph" w:customStyle="1" w:styleId="BHLevel6">
    <w:name w:val="BHLevel6"/>
    <w:basedOn w:val="BHNormal"/>
    <w:next w:val="BHNormal"/>
    <w:link w:val="BHLevel6Char"/>
    <w:qFormat/>
    <w:rsid w:val="00497A1B"/>
    <w:pPr>
      <w:spacing w:before="480" w:after="240"/>
      <w:outlineLvl w:val="5"/>
    </w:pPr>
    <w:rPr>
      <w:i/>
      <w:color w:val="043254" w:themeColor="accent5"/>
      <w:szCs w:val="24"/>
    </w:rPr>
  </w:style>
  <w:style w:type="character" w:customStyle="1" w:styleId="BHLevel5Char">
    <w:name w:val="BHLevel5 Char"/>
    <w:basedOn w:val="DefaultParagraphFont"/>
    <w:link w:val="BHLevel5"/>
    <w:rsid w:val="00497A1B"/>
    <w:rPr>
      <w:rFonts w:ascii="Times New Roman" w:hAnsi="Times New Roman" w:cs="Times New Roman"/>
      <w:b/>
      <w:i/>
      <w:color w:val="000000" w:themeColor="text1"/>
      <w:sz w:val="26"/>
      <w:szCs w:val="26"/>
    </w:rPr>
  </w:style>
  <w:style w:type="character" w:customStyle="1" w:styleId="BHLevel6Char">
    <w:name w:val="BHLevel6 Char"/>
    <w:basedOn w:val="BHLevel5Char"/>
    <w:link w:val="BHLevel6"/>
    <w:rsid w:val="00497A1B"/>
    <w:rPr>
      <w:rFonts w:ascii="Times New Roman" w:hAnsi="Times New Roman" w:cs="Times New Roman"/>
      <w:b/>
      <w:i/>
      <w:color w:val="043254" w:themeColor="accent5"/>
      <w:sz w:val="24"/>
      <w:szCs w:val="24"/>
    </w:rPr>
  </w:style>
  <w:style w:type="paragraph" w:customStyle="1" w:styleId="BHNormal">
    <w:name w:val="BHNormal"/>
    <w:qFormat/>
    <w:rsid w:val="009A469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62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F62"/>
  </w:style>
  <w:style w:type="paragraph" w:styleId="Footer">
    <w:name w:val="footer"/>
    <w:basedOn w:val="Normal"/>
    <w:link w:val="FooterChar"/>
    <w:uiPriority w:val="99"/>
    <w:unhideWhenUsed/>
    <w:rsid w:val="00362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F62"/>
  </w:style>
  <w:style w:type="paragraph" w:styleId="ListParagraph">
    <w:name w:val="List Paragraph"/>
    <w:basedOn w:val="Normal"/>
    <w:uiPriority w:val="34"/>
    <w:qFormat/>
    <w:rsid w:val="006C1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A65"/>
    <w:rPr>
      <w:color w:val="043D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g.umbc.edu/aqpg/viirs_workshop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ar.nesdis.noaa.gov/smcd/spb/aq/viirs_workshop_201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lg.umbc.edu/aqpg/viirs_worksho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.nesdis.noaa.gov/smcd/spb/aq/viirs_workshop_201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resentation1">
  <a:themeElements>
    <a:clrScheme name="Custom 1">
      <a:dk1>
        <a:srgbClr val="000000"/>
      </a:dk1>
      <a:lt1>
        <a:srgbClr val="FFFFFF"/>
      </a:lt1>
      <a:dk2>
        <a:srgbClr val="043254"/>
      </a:dk2>
      <a:lt2>
        <a:srgbClr val="E3E9ED"/>
      </a:lt2>
      <a:accent1>
        <a:srgbClr val="054471"/>
      </a:accent1>
      <a:accent2>
        <a:srgbClr val="7E2A54"/>
      </a:accent2>
      <a:accent3>
        <a:srgbClr val="008B80"/>
      </a:accent3>
      <a:accent4>
        <a:srgbClr val="E3E9ED"/>
      </a:accent4>
      <a:accent5>
        <a:srgbClr val="043254"/>
      </a:accent5>
      <a:accent6>
        <a:srgbClr val="333333"/>
      </a:accent6>
      <a:hlink>
        <a:srgbClr val="043D66"/>
      </a:hlink>
      <a:folHlink>
        <a:srgbClr val="008B80"/>
      </a:folHlink>
    </a:clrScheme>
    <a:fontScheme name="Battelle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  <a:spAutoFit/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Office Them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Office Theme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Office Theme 13">
        <a:dk1>
          <a:srgbClr val="000000"/>
        </a:dk1>
        <a:lt1>
          <a:srgbClr val="FFFFFF"/>
        </a:lt1>
        <a:dk2>
          <a:srgbClr val="043254"/>
        </a:dk2>
        <a:lt2>
          <a:srgbClr val="333333"/>
        </a:lt2>
        <a:accent1>
          <a:srgbClr val="E3E9ED"/>
        </a:accent1>
        <a:accent2>
          <a:srgbClr val="054471"/>
        </a:accent2>
        <a:accent3>
          <a:srgbClr val="FFFFFF"/>
        </a:accent3>
        <a:accent4>
          <a:srgbClr val="000000"/>
        </a:accent4>
        <a:accent5>
          <a:srgbClr val="EFF2F4"/>
        </a:accent5>
        <a:accent6>
          <a:srgbClr val="043D66"/>
        </a:accent6>
        <a:hlink>
          <a:srgbClr val="7E2A54"/>
        </a:hlink>
        <a:folHlink>
          <a:srgbClr val="008B8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4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Battelle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Huff</dc:creator>
  <cp:lastModifiedBy>Amy Huff</cp:lastModifiedBy>
  <cp:revision>101</cp:revision>
  <dcterms:created xsi:type="dcterms:W3CDTF">2013-11-11T19:29:00Z</dcterms:created>
  <dcterms:modified xsi:type="dcterms:W3CDTF">2013-11-18T20:26:00Z</dcterms:modified>
</cp:coreProperties>
</file>